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01EFE" w14:textId="77777777" w:rsidR="007D3B94" w:rsidRDefault="007D3B94" w:rsidP="007D3B94">
      <w:pPr>
        <w:suppressAutoHyphens w:val="0"/>
        <w:rPr>
          <w:rFonts w:ascii="Times New Roman" w:hAnsi="Times New Roman" w:cs="Times New Roman"/>
          <w:sz w:val="24"/>
          <w:lang w:eastAsia="nl-NL"/>
        </w:rPr>
      </w:pPr>
      <w:r>
        <w:rPr>
          <w:noProof/>
          <w:lang w:eastAsia="nl-NL"/>
        </w:rPr>
        <w:drawing>
          <wp:anchor distT="0" distB="0" distL="114300" distR="114300" simplePos="0" relativeHeight="251659264" behindDoc="0" locked="0" layoutInCell="1" allowOverlap="1" wp14:anchorId="1A158788" wp14:editId="46FD2890">
            <wp:simplePos x="0" y="0"/>
            <wp:positionH relativeFrom="column">
              <wp:posOffset>38088</wp:posOffset>
            </wp:positionH>
            <wp:positionV relativeFrom="paragraph">
              <wp:posOffset>0</wp:posOffset>
            </wp:positionV>
            <wp:extent cx="838835" cy="1292860"/>
            <wp:effectExtent l="0" t="0" r="0"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35" cy="1292860"/>
                    </a:xfrm>
                    <a:prstGeom prst="rect">
                      <a:avLst/>
                    </a:prstGeom>
                    <a:noFill/>
                  </pic:spPr>
                </pic:pic>
              </a:graphicData>
            </a:graphic>
            <wp14:sizeRelH relativeFrom="page">
              <wp14:pctWidth>0</wp14:pctWidth>
            </wp14:sizeRelH>
            <wp14:sizeRelV relativeFrom="page">
              <wp14:pctHeight>0</wp14:pctHeight>
            </wp14:sizeRelV>
          </wp:anchor>
        </w:drawing>
      </w:r>
    </w:p>
    <w:p w14:paraId="3001C865" w14:textId="77777777" w:rsidR="007D3B94" w:rsidRDefault="007D3B94" w:rsidP="007D3B94">
      <w:pPr>
        <w:rPr>
          <w:b/>
          <w:sz w:val="32"/>
          <w:szCs w:val="32"/>
        </w:rPr>
      </w:pPr>
    </w:p>
    <w:p w14:paraId="4F71A787" w14:textId="77777777" w:rsidR="007D3B94" w:rsidRDefault="007D3B94" w:rsidP="007D3B94">
      <w:pPr>
        <w:rPr>
          <w:b/>
          <w:sz w:val="32"/>
          <w:szCs w:val="32"/>
        </w:rPr>
      </w:pPr>
    </w:p>
    <w:p w14:paraId="5634C1E7" w14:textId="77777777" w:rsidR="007D3B94" w:rsidRDefault="007D3B94" w:rsidP="007D3B94">
      <w:pPr>
        <w:rPr>
          <w:b/>
          <w:sz w:val="32"/>
          <w:szCs w:val="32"/>
        </w:rPr>
      </w:pPr>
    </w:p>
    <w:p w14:paraId="40FFAF48" w14:textId="77777777" w:rsidR="007D3B94" w:rsidRDefault="007D3B94" w:rsidP="007D3B94">
      <w:pPr>
        <w:rPr>
          <w:b/>
          <w:sz w:val="32"/>
          <w:szCs w:val="32"/>
        </w:rPr>
      </w:pPr>
    </w:p>
    <w:p w14:paraId="2BF43A5E" w14:textId="77777777" w:rsidR="007D3B94" w:rsidRDefault="007D3B94" w:rsidP="007D3B94">
      <w:pPr>
        <w:rPr>
          <w:b/>
          <w:sz w:val="32"/>
          <w:szCs w:val="32"/>
        </w:rPr>
      </w:pPr>
    </w:p>
    <w:p w14:paraId="5370007D" w14:textId="77777777" w:rsidR="007D3B94" w:rsidRDefault="007D3B94" w:rsidP="007D3B94">
      <w:pPr>
        <w:rPr>
          <w:b/>
          <w:sz w:val="32"/>
          <w:szCs w:val="32"/>
        </w:rPr>
      </w:pPr>
    </w:p>
    <w:p w14:paraId="0ACF9B2C" w14:textId="77777777" w:rsidR="007D3B94" w:rsidRDefault="007D3B94" w:rsidP="007D3B94">
      <w:pPr>
        <w:rPr>
          <w:b/>
          <w:sz w:val="32"/>
          <w:szCs w:val="32"/>
        </w:rPr>
      </w:pPr>
    </w:p>
    <w:p w14:paraId="136BB29D" w14:textId="580D82AC" w:rsidR="00D45ED3" w:rsidRDefault="007D3B94" w:rsidP="007D3B94">
      <w:pPr>
        <w:pStyle w:val="MEEDocumentTitel"/>
        <w:outlineLvl w:val="0"/>
        <w:rPr>
          <w:rFonts w:ascii="Arial" w:hAnsi="Arial" w:cs="Arial"/>
          <w:b/>
          <w:szCs w:val="24"/>
        </w:rPr>
      </w:pPr>
      <w:r w:rsidRPr="00C44280">
        <w:rPr>
          <w:rFonts w:ascii="Arial" w:hAnsi="Arial" w:cs="Arial"/>
          <w:b/>
          <w:szCs w:val="24"/>
        </w:rPr>
        <w:t>MEMO</w:t>
      </w:r>
      <w:r w:rsidRPr="00C44280">
        <w:rPr>
          <w:rFonts w:ascii="Arial" w:hAnsi="Arial" w:cs="Arial"/>
          <w:b/>
          <w:szCs w:val="24"/>
        </w:rPr>
        <w:tab/>
      </w:r>
      <w:r w:rsidR="005C04B7">
        <w:rPr>
          <w:rFonts w:ascii="Arial" w:hAnsi="Arial" w:cs="Arial"/>
          <w:b/>
          <w:szCs w:val="24"/>
        </w:rPr>
        <w:tab/>
      </w:r>
      <w:r w:rsidR="005C04B7">
        <w:rPr>
          <w:rFonts w:ascii="Arial" w:hAnsi="Arial" w:cs="Arial"/>
          <w:b/>
          <w:szCs w:val="24"/>
        </w:rPr>
        <w:tab/>
      </w:r>
      <w:r w:rsidR="005C04B7">
        <w:rPr>
          <w:rFonts w:ascii="Arial" w:hAnsi="Arial" w:cs="Arial"/>
          <w:b/>
          <w:szCs w:val="24"/>
        </w:rPr>
        <w:tab/>
      </w:r>
      <w:r w:rsidR="005C04B7">
        <w:rPr>
          <w:rFonts w:ascii="Arial" w:hAnsi="Arial" w:cs="Arial"/>
          <w:b/>
          <w:szCs w:val="24"/>
        </w:rPr>
        <w:tab/>
      </w:r>
      <w:r w:rsidR="005C04B7">
        <w:rPr>
          <w:rFonts w:ascii="Arial" w:hAnsi="Arial" w:cs="Arial"/>
          <w:b/>
          <w:szCs w:val="24"/>
        </w:rPr>
        <w:tab/>
      </w:r>
      <w:r w:rsidR="005C04B7">
        <w:rPr>
          <w:rFonts w:ascii="Arial" w:hAnsi="Arial" w:cs="Arial"/>
          <w:b/>
          <w:szCs w:val="24"/>
        </w:rPr>
        <w:tab/>
      </w:r>
      <w:r w:rsidR="005C04B7">
        <w:rPr>
          <w:rFonts w:ascii="Arial" w:hAnsi="Arial" w:cs="Arial"/>
          <w:b/>
          <w:szCs w:val="24"/>
        </w:rPr>
        <w:tab/>
      </w:r>
      <w:r w:rsidR="005C04B7">
        <w:rPr>
          <w:rFonts w:ascii="Arial" w:hAnsi="Arial" w:cs="Arial"/>
          <w:b/>
          <w:szCs w:val="24"/>
        </w:rPr>
        <w:tab/>
      </w:r>
      <w:r w:rsidR="005C04B7">
        <w:rPr>
          <w:rFonts w:ascii="Arial" w:hAnsi="Arial" w:cs="Arial"/>
          <w:b/>
          <w:szCs w:val="24"/>
        </w:rPr>
        <w:tab/>
      </w:r>
      <w:r w:rsidR="00AF05AC">
        <w:rPr>
          <w:rFonts w:ascii="Arial" w:hAnsi="Arial" w:cs="Arial"/>
          <w:b/>
          <w:szCs w:val="24"/>
        </w:rPr>
        <w:t xml:space="preserve"> </w:t>
      </w:r>
    </w:p>
    <w:p w14:paraId="59809FB4" w14:textId="25AFFB97" w:rsidR="007D3B94" w:rsidRPr="00C44280" w:rsidRDefault="007D3B94" w:rsidP="007D3B94">
      <w:pPr>
        <w:pStyle w:val="MEEDocumentTitel"/>
        <w:outlineLvl w:val="0"/>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C44280">
        <w:rPr>
          <w:rFonts w:ascii="Arial" w:hAnsi="Arial" w:cs="Arial"/>
          <w:b/>
          <w:szCs w:val="24"/>
        </w:rPr>
        <w:tab/>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3"/>
        <w:gridCol w:w="7232"/>
      </w:tblGrid>
      <w:tr w:rsidR="007D3B94" w14:paraId="4C7C5E19" w14:textId="77777777" w:rsidTr="00AF05AC">
        <w:trPr>
          <w:trHeight w:val="250"/>
        </w:trPr>
        <w:tc>
          <w:tcPr>
            <w:tcW w:w="2373" w:type="dxa"/>
          </w:tcPr>
          <w:p w14:paraId="367BA97D" w14:textId="77777777" w:rsidR="007D3B94" w:rsidRPr="00AF05AC" w:rsidRDefault="007D3B94" w:rsidP="00113656">
            <w:pPr>
              <w:pStyle w:val="MEEDocumentTitel"/>
              <w:jc w:val="both"/>
              <w:outlineLvl w:val="0"/>
              <w:rPr>
                <w:rFonts w:ascii="Arial" w:hAnsi="Arial" w:cs="Arial"/>
                <w:b/>
                <w:sz w:val="20"/>
              </w:rPr>
            </w:pPr>
            <w:r w:rsidRPr="00AF05AC">
              <w:rPr>
                <w:rFonts w:ascii="Arial" w:hAnsi="Arial" w:cs="Arial"/>
                <w:b/>
                <w:sz w:val="20"/>
              </w:rPr>
              <w:t xml:space="preserve">Aan: </w:t>
            </w:r>
            <w:r w:rsidRPr="00AF05AC">
              <w:rPr>
                <w:rFonts w:ascii="Arial" w:hAnsi="Arial" w:cs="Arial"/>
                <w:b/>
                <w:sz w:val="20"/>
              </w:rPr>
              <w:tab/>
            </w:r>
          </w:p>
        </w:tc>
        <w:tc>
          <w:tcPr>
            <w:tcW w:w="7232" w:type="dxa"/>
          </w:tcPr>
          <w:p w14:paraId="4121E5DE" w14:textId="5008B635" w:rsidR="007D3B94" w:rsidRPr="009F4D58" w:rsidRDefault="00335F68" w:rsidP="00335F68">
            <w:pPr>
              <w:pStyle w:val="MEEDocumentTitel"/>
              <w:outlineLvl w:val="0"/>
              <w:rPr>
                <w:rFonts w:ascii="Arial" w:hAnsi="Arial" w:cs="Arial"/>
                <w:sz w:val="20"/>
              </w:rPr>
            </w:pPr>
            <w:r>
              <w:rPr>
                <w:rFonts w:ascii="Arial" w:hAnsi="Arial" w:cs="Arial"/>
                <w:sz w:val="20"/>
              </w:rPr>
              <w:t>Leden Fysieke en Digitale Adviestafel</w:t>
            </w:r>
          </w:p>
        </w:tc>
      </w:tr>
      <w:tr w:rsidR="007D3B94" w:rsidRPr="00AF05AC" w14:paraId="55DC8894" w14:textId="77777777" w:rsidTr="00AF05AC">
        <w:trPr>
          <w:trHeight w:val="250"/>
        </w:trPr>
        <w:tc>
          <w:tcPr>
            <w:tcW w:w="2373" w:type="dxa"/>
          </w:tcPr>
          <w:p w14:paraId="5A32C6DD" w14:textId="77777777" w:rsidR="007D3B94" w:rsidRPr="00AF05AC" w:rsidRDefault="007D3B94" w:rsidP="00113656">
            <w:pPr>
              <w:pStyle w:val="MEEDocumentTitel"/>
              <w:jc w:val="both"/>
              <w:outlineLvl w:val="0"/>
              <w:rPr>
                <w:rFonts w:ascii="Arial" w:hAnsi="Arial" w:cs="Arial"/>
                <w:b/>
                <w:sz w:val="20"/>
              </w:rPr>
            </w:pPr>
            <w:r w:rsidRPr="00AF05AC">
              <w:rPr>
                <w:rFonts w:ascii="Arial" w:hAnsi="Arial" w:cs="Arial"/>
                <w:b/>
                <w:sz w:val="20"/>
              </w:rPr>
              <w:t>Van:</w:t>
            </w:r>
          </w:p>
        </w:tc>
        <w:tc>
          <w:tcPr>
            <w:tcW w:w="7232" w:type="dxa"/>
          </w:tcPr>
          <w:p w14:paraId="6903E7B2" w14:textId="2C52512B" w:rsidR="007D3B94" w:rsidRPr="00D81C87" w:rsidRDefault="00D81C87" w:rsidP="00512906">
            <w:pPr>
              <w:pStyle w:val="MEEDocumentTitel"/>
              <w:outlineLvl w:val="0"/>
              <w:rPr>
                <w:rFonts w:ascii="Arial" w:hAnsi="Arial" w:cs="Arial"/>
                <w:sz w:val="20"/>
              </w:rPr>
            </w:pPr>
            <w:r w:rsidRPr="00D81C87">
              <w:rPr>
                <w:rFonts w:ascii="Arial" w:hAnsi="Arial" w:cs="Arial"/>
                <w:sz w:val="20"/>
              </w:rPr>
              <w:t>John Stevens</w:t>
            </w:r>
            <w:r w:rsidR="00512906">
              <w:rPr>
                <w:rFonts w:ascii="Arial" w:hAnsi="Arial" w:cs="Arial"/>
                <w:sz w:val="20"/>
              </w:rPr>
              <w:t xml:space="preserve"> en</w:t>
            </w:r>
            <w:r w:rsidRPr="00D81C87">
              <w:rPr>
                <w:rFonts w:ascii="Arial" w:hAnsi="Arial" w:cs="Arial"/>
                <w:sz w:val="20"/>
              </w:rPr>
              <w:t xml:space="preserve"> David Smeets</w:t>
            </w:r>
          </w:p>
        </w:tc>
      </w:tr>
      <w:tr w:rsidR="007D3B94" w14:paraId="4D4BB992" w14:textId="77777777" w:rsidTr="00AF05AC">
        <w:trPr>
          <w:trHeight w:val="261"/>
        </w:trPr>
        <w:tc>
          <w:tcPr>
            <w:tcW w:w="2373" w:type="dxa"/>
          </w:tcPr>
          <w:p w14:paraId="08708BB5" w14:textId="77777777" w:rsidR="007D3B94" w:rsidRPr="00AF05AC" w:rsidRDefault="007D3B94" w:rsidP="00113656">
            <w:pPr>
              <w:pStyle w:val="MEEDocumentTitel"/>
              <w:jc w:val="both"/>
              <w:outlineLvl w:val="0"/>
              <w:rPr>
                <w:rFonts w:ascii="Arial" w:hAnsi="Arial" w:cs="Arial"/>
                <w:b/>
                <w:sz w:val="20"/>
              </w:rPr>
            </w:pPr>
            <w:r w:rsidRPr="00AF05AC">
              <w:rPr>
                <w:rFonts w:ascii="Arial" w:hAnsi="Arial" w:cs="Arial"/>
                <w:b/>
                <w:sz w:val="20"/>
              </w:rPr>
              <w:t>Datum:</w:t>
            </w:r>
          </w:p>
        </w:tc>
        <w:tc>
          <w:tcPr>
            <w:tcW w:w="7232" w:type="dxa"/>
          </w:tcPr>
          <w:p w14:paraId="60AC4E7B" w14:textId="36D2AB46" w:rsidR="007D3B94" w:rsidRPr="009F4D58" w:rsidRDefault="003B6607" w:rsidP="003B6607">
            <w:pPr>
              <w:pStyle w:val="MEEDocumentTitel"/>
              <w:outlineLvl w:val="0"/>
              <w:rPr>
                <w:rFonts w:ascii="Arial" w:hAnsi="Arial" w:cs="Arial"/>
                <w:sz w:val="20"/>
              </w:rPr>
            </w:pPr>
            <w:r>
              <w:rPr>
                <w:rFonts w:ascii="Arial" w:hAnsi="Arial" w:cs="Arial"/>
                <w:sz w:val="20"/>
              </w:rPr>
              <w:t xml:space="preserve">20 maart </w:t>
            </w:r>
            <w:r w:rsidR="00D81C87">
              <w:rPr>
                <w:rFonts w:ascii="Arial" w:hAnsi="Arial" w:cs="Arial"/>
                <w:sz w:val="20"/>
              </w:rPr>
              <w:t>2017</w:t>
            </w:r>
          </w:p>
        </w:tc>
      </w:tr>
      <w:tr w:rsidR="007D3B94" w14:paraId="038F1D92" w14:textId="77777777" w:rsidTr="00AF05AC">
        <w:trPr>
          <w:trHeight w:val="250"/>
        </w:trPr>
        <w:tc>
          <w:tcPr>
            <w:tcW w:w="2373" w:type="dxa"/>
          </w:tcPr>
          <w:p w14:paraId="6D1AFDAA" w14:textId="77777777" w:rsidR="007D3B94" w:rsidRPr="00AF05AC" w:rsidRDefault="007D3B94" w:rsidP="00113656">
            <w:pPr>
              <w:pStyle w:val="MEEDocumentTitel"/>
              <w:jc w:val="both"/>
              <w:outlineLvl w:val="0"/>
              <w:rPr>
                <w:rFonts w:ascii="Arial" w:hAnsi="Arial" w:cs="Arial"/>
                <w:b/>
                <w:sz w:val="20"/>
              </w:rPr>
            </w:pPr>
            <w:r w:rsidRPr="00AF05AC">
              <w:rPr>
                <w:rFonts w:ascii="Arial" w:hAnsi="Arial" w:cs="Arial"/>
                <w:b/>
                <w:sz w:val="20"/>
              </w:rPr>
              <w:t>Betreft:</w:t>
            </w:r>
          </w:p>
        </w:tc>
        <w:tc>
          <w:tcPr>
            <w:tcW w:w="7232" w:type="dxa"/>
          </w:tcPr>
          <w:p w14:paraId="3F82449D" w14:textId="4B015DD7" w:rsidR="007D3B94" w:rsidRPr="009F4D58" w:rsidRDefault="00D81C87" w:rsidP="00512906">
            <w:pPr>
              <w:pStyle w:val="MEEDocumentTitel"/>
              <w:outlineLvl w:val="0"/>
              <w:rPr>
                <w:rFonts w:ascii="Arial" w:hAnsi="Arial" w:cs="Arial"/>
                <w:sz w:val="20"/>
              </w:rPr>
            </w:pPr>
            <w:r>
              <w:rPr>
                <w:rFonts w:ascii="Arial" w:hAnsi="Arial" w:cs="Arial"/>
                <w:sz w:val="20"/>
              </w:rPr>
              <w:t>Kwartaalrapportage Jeugd FoodValley Q4 2016</w:t>
            </w:r>
          </w:p>
        </w:tc>
      </w:tr>
      <w:tr w:rsidR="00AB7724" w14:paraId="266C1061" w14:textId="77777777" w:rsidTr="00D81C87">
        <w:trPr>
          <w:trHeight w:val="367"/>
        </w:trPr>
        <w:tc>
          <w:tcPr>
            <w:tcW w:w="2373" w:type="dxa"/>
          </w:tcPr>
          <w:p w14:paraId="246E180C" w14:textId="77777777" w:rsidR="00AB7724" w:rsidRPr="00AF05AC" w:rsidRDefault="00AB7724" w:rsidP="00113656">
            <w:pPr>
              <w:pStyle w:val="MEEDocumentTitel"/>
              <w:jc w:val="both"/>
              <w:outlineLvl w:val="0"/>
              <w:rPr>
                <w:rFonts w:ascii="Arial" w:hAnsi="Arial" w:cs="Arial"/>
                <w:b/>
                <w:sz w:val="20"/>
              </w:rPr>
            </w:pPr>
            <w:r w:rsidRPr="00AF05AC">
              <w:rPr>
                <w:rFonts w:ascii="Arial" w:hAnsi="Arial" w:cs="Arial"/>
                <w:b/>
                <w:sz w:val="20"/>
              </w:rPr>
              <w:t xml:space="preserve">Gevraagd: </w:t>
            </w:r>
          </w:p>
        </w:tc>
        <w:tc>
          <w:tcPr>
            <w:tcW w:w="7232" w:type="dxa"/>
          </w:tcPr>
          <w:p w14:paraId="637BFB7F" w14:textId="5C1C47B2" w:rsidR="00D45ED3" w:rsidRDefault="00E254D8" w:rsidP="00AF05AC">
            <w:r>
              <w:t>Ter kennisneming</w:t>
            </w:r>
          </w:p>
        </w:tc>
      </w:tr>
    </w:tbl>
    <w:p w14:paraId="63892409" w14:textId="77777777" w:rsidR="00A807EF" w:rsidRDefault="00A807EF" w:rsidP="00AF05AC"/>
    <w:p w14:paraId="14DA9B38" w14:textId="77777777" w:rsidR="00D81C87" w:rsidRDefault="00D81C87" w:rsidP="00D81C87">
      <w:pPr>
        <w:rPr>
          <w:b/>
        </w:rPr>
      </w:pPr>
    </w:p>
    <w:p w14:paraId="21816F37" w14:textId="6A442CD7" w:rsidR="00D81C87" w:rsidRDefault="00D81C87" w:rsidP="00D81C87">
      <w:pPr>
        <w:rPr>
          <w:szCs w:val="20"/>
        </w:rPr>
      </w:pPr>
      <w:r w:rsidRPr="003B10BD">
        <w:rPr>
          <w:szCs w:val="20"/>
        </w:rPr>
        <w:t>Dit is de vierde kwartaalrapportage jeugd FoodValley 2016. Deze rapportage geeft een beeld van de uitvoering jeugdwet 2016. Deze kwartaalrapportage bevat een financieel deel (Deel I), een uitsplitsing naar zorgvormen en cliënten (Deel II)</w:t>
      </w:r>
      <w:r w:rsidR="00ED2E5F">
        <w:rPr>
          <w:szCs w:val="20"/>
        </w:rPr>
        <w:t>.</w:t>
      </w:r>
      <w:r w:rsidRPr="003B10BD">
        <w:rPr>
          <w:szCs w:val="20"/>
        </w:rPr>
        <w:t xml:space="preserve"> </w:t>
      </w:r>
    </w:p>
    <w:p w14:paraId="7D944979" w14:textId="77777777" w:rsidR="00D81C87" w:rsidRDefault="00D81C87" w:rsidP="00D81C87">
      <w:pPr>
        <w:rPr>
          <w:szCs w:val="20"/>
        </w:rPr>
      </w:pPr>
    </w:p>
    <w:p w14:paraId="3CD3A583" w14:textId="5479192F" w:rsidR="00D81C87" w:rsidRPr="003B10BD" w:rsidRDefault="00D81C87" w:rsidP="00D81C87">
      <w:pPr>
        <w:rPr>
          <w:szCs w:val="20"/>
        </w:rPr>
      </w:pPr>
      <w:r w:rsidRPr="003B10BD">
        <w:rPr>
          <w:szCs w:val="20"/>
        </w:rPr>
        <w:t xml:space="preserve">Deel I geeft de financiële stand van zaken over geheel 2016 op basis van de jaarafsluiting van 16 februari 2017. </w:t>
      </w:r>
      <w:r w:rsidR="00522AAD">
        <w:rPr>
          <w:szCs w:val="20"/>
        </w:rPr>
        <w:t xml:space="preserve">Daarnaast wordt expliciet aandacht besteed aan de maatregelen ter beheersing van de uitgaven die vanaf 2015 zijn ingezet. </w:t>
      </w:r>
      <w:r w:rsidRPr="003B10BD">
        <w:rPr>
          <w:szCs w:val="20"/>
        </w:rPr>
        <w:t>Deel II geeft een uitsplitsing naar zorgvormen en aantallen cliënten</w:t>
      </w:r>
      <w:r w:rsidR="00ED2E5F">
        <w:rPr>
          <w:szCs w:val="20"/>
        </w:rPr>
        <w:t>.</w:t>
      </w:r>
      <w:r w:rsidRPr="003B10BD">
        <w:rPr>
          <w:szCs w:val="20"/>
        </w:rPr>
        <w:t xml:space="preserve"> </w:t>
      </w:r>
    </w:p>
    <w:p w14:paraId="64F8D757" w14:textId="77777777" w:rsidR="00D81C87" w:rsidRDefault="00D81C87" w:rsidP="00D81C87">
      <w:pPr>
        <w:rPr>
          <w:szCs w:val="20"/>
          <w:highlight w:val="yellow"/>
        </w:rPr>
      </w:pPr>
    </w:p>
    <w:p w14:paraId="31329D9F" w14:textId="1D06EA74" w:rsidR="00D81C87" w:rsidRPr="006C5A1F" w:rsidRDefault="00D81C87" w:rsidP="00D81C87">
      <w:pPr>
        <w:rPr>
          <w:szCs w:val="20"/>
        </w:rPr>
      </w:pPr>
      <w:r w:rsidRPr="006C5A1F">
        <w:rPr>
          <w:b/>
          <w:sz w:val="34"/>
          <w:szCs w:val="34"/>
        </w:rPr>
        <w:t>Deel I: De Financiële rapportage</w:t>
      </w:r>
    </w:p>
    <w:p w14:paraId="7DD59EC6" w14:textId="77777777" w:rsidR="00D81C87" w:rsidRDefault="00D81C87" w:rsidP="00D81C87">
      <w:pPr>
        <w:rPr>
          <w:szCs w:val="20"/>
          <w:highlight w:val="yellow"/>
        </w:rPr>
      </w:pPr>
    </w:p>
    <w:p w14:paraId="073903C0" w14:textId="1F59717B" w:rsidR="00D81C87" w:rsidRPr="006C5A1F" w:rsidRDefault="00D81C87" w:rsidP="00D81C87">
      <w:pPr>
        <w:rPr>
          <w:szCs w:val="20"/>
        </w:rPr>
      </w:pPr>
      <w:r w:rsidRPr="000D3B86">
        <w:rPr>
          <w:szCs w:val="20"/>
        </w:rPr>
        <w:t xml:space="preserve">We bouwen de financiële rapportage als volgt op. Eerst bezien we de veranderingen van Q3 naar Q4 met achterliggende redenen voor de verandering. Daarna gaan we dieper in op de cijfers </w:t>
      </w:r>
      <w:r w:rsidR="003B6607">
        <w:rPr>
          <w:szCs w:val="20"/>
        </w:rPr>
        <w:t>en gaan dieper in op percelen (ve</w:t>
      </w:r>
      <w:r w:rsidR="008F2E08">
        <w:rPr>
          <w:szCs w:val="20"/>
        </w:rPr>
        <w:t xml:space="preserve">iligheid, ambulant en verblijf), </w:t>
      </w:r>
      <w:r w:rsidRPr="006C5A1F">
        <w:rPr>
          <w:szCs w:val="20"/>
        </w:rPr>
        <w:t xml:space="preserve">op de onderliggende zorgvormen en maken we een vergelijking met 2015. </w:t>
      </w:r>
    </w:p>
    <w:p w14:paraId="68BE8A4A" w14:textId="77777777" w:rsidR="00A33EB7" w:rsidRDefault="00A33EB7" w:rsidP="00D81C87">
      <w:pPr>
        <w:rPr>
          <w:b/>
          <w:sz w:val="34"/>
          <w:szCs w:val="34"/>
        </w:rPr>
      </w:pPr>
    </w:p>
    <w:p w14:paraId="4B0985B6" w14:textId="2D5D20C2" w:rsidR="00D81C87" w:rsidRPr="00C8014F" w:rsidRDefault="00D81C87" w:rsidP="00D81C87">
      <w:pPr>
        <w:rPr>
          <w:szCs w:val="20"/>
        </w:rPr>
      </w:pPr>
      <w:r w:rsidRPr="00C8014F">
        <w:rPr>
          <w:b/>
          <w:sz w:val="34"/>
          <w:szCs w:val="34"/>
        </w:rPr>
        <w:t>Van Q3 naar Q4</w:t>
      </w:r>
    </w:p>
    <w:p w14:paraId="475B7CCB" w14:textId="08D82DED" w:rsidR="00D81C87" w:rsidRPr="00C8014F" w:rsidRDefault="00D81C87" w:rsidP="00D81C87">
      <w:pPr>
        <w:numPr>
          <w:ilvl w:val="0"/>
          <w:numId w:val="16"/>
        </w:numPr>
        <w:rPr>
          <w:szCs w:val="20"/>
        </w:rPr>
      </w:pPr>
      <w:r w:rsidRPr="00C8014F">
        <w:rPr>
          <w:szCs w:val="20"/>
        </w:rPr>
        <w:t xml:space="preserve">Zetten we de prognose 2016 (inclusief loon en prijscompensatie) af tegen de budgetten in 2016 dan zien we het tekort oplopen van 2,4 miljoen </w:t>
      </w:r>
      <w:r>
        <w:rPr>
          <w:szCs w:val="20"/>
        </w:rPr>
        <w:t>in</w:t>
      </w:r>
      <w:r w:rsidRPr="00C8014F">
        <w:rPr>
          <w:szCs w:val="20"/>
        </w:rPr>
        <w:t xml:space="preserve"> Q3 tot 4,4 miljoen </w:t>
      </w:r>
      <w:r>
        <w:rPr>
          <w:szCs w:val="20"/>
        </w:rPr>
        <w:t xml:space="preserve">in </w:t>
      </w:r>
      <w:r w:rsidRPr="00C8014F">
        <w:rPr>
          <w:szCs w:val="20"/>
        </w:rPr>
        <w:t xml:space="preserve">Q4 op regioniveau. </w:t>
      </w:r>
    </w:p>
    <w:p w14:paraId="1BCF643F" w14:textId="77777777" w:rsidR="00D81C87" w:rsidRPr="00C8014F" w:rsidRDefault="00D81C87" w:rsidP="00D81C87">
      <w:pPr>
        <w:rPr>
          <w:szCs w:val="20"/>
        </w:rPr>
      </w:pPr>
      <w:r>
        <w:rPr>
          <w:szCs w:val="20"/>
        </w:rPr>
        <w:t>De verschillen worden veroorzaakt door:</w:t>
      </w:r>
    </w:p>
    <w:p w14:paraId="7E4578F5" w14:textId="77777777" w:rsidR="00D81C87" w:rsidRPr="00C8014F" w:rsidRDefault="00D81C87" w:rsidP="00D81C87">
      <w:pPr>
        <w:numPr>
          <w:ilvl w:val="0"/>
          <w:numId w:val="21"/>
        </w:numPr>
        <w:rPr>
          <w:szCs w:val="20"/>
        </w:rPr>
      </w:pPr>
      <w:r>
        <w:rPr>
          <w:szCs w:val="20"/>
        </w:rPr>
        <w:t xml:space="preserve">Zagen we </w:t>
      </w:r>
      <w:r w:rsidRPr="00C8014F">
        <w:rPr>
          <w:szCs w:val="20"/>
        </w:rPr>
        <w:t xml:space="preserve">Q3 </w:t>
      </w:r>
      <w:r>
        <w:rPr>
          <w:szCs w:val="20"/>
        </w:rPr>
        <w:t xml:space="preserve">een lichte daling van gebruik van jeugdhulp, op basis van Q4 zien we dat </w:t>
      </w:r>
      <w:r w:rsidRPr="00C8014F">
        <w:rPr>
          <w:szCs w:val="20"/>
        </w:rPr>
        <w:t xml:space="preserve">deze daling </w:t>
      </w:r>
      <w:r>
        <w:rPr>
          <w:szCs w:val="20"/>
        </w:rPr>
        <w:t xml:space="preserve">niet is doorgezet </w:t>
      </w:r>
      <w:r w:rsidRPr="00C8014F">
        <w:rPr>
          <w:szCs w:val="20"/>
        </w:rPr>
        <w:t>en ligt het zorggebruik op regioniveau vrij dicht bij het zorggebruik in 2015.</w:t>
      </w:r>
    </w:p>
    <w:p w14:paraId="4A3E586C" w14:textId="77777777" w:rsidR="00D81C87" w:rsidRPr="00C8014F" w:rsidRDefault="00D81C87" w:rsidP="00D81C87">
      <w:pPr>
        <w:numPr>
          <w:ilvl w:val="0"/>
          <w:numId w:val="16"/>
        </w:numPr>
        <w:rPr>
          <w:szCs w:val="20"/>
        </w:rPr>
      </w:pPr>
      <w:r>
        <w:rPr>
          <w:szCs w:val="20"/>
        </w:rPr>
        <w:t xml:space="preserve">Een deel van het verschil met Q4 wordt mede veroorzaakt door </w:t>
      </w:r>
      <w:r w:rsidRPr="00C8014F">
        <w:rPr>
          <w:szCs w:val="20"/>
        </w:rPr>
        <w:t>een in Q</w:t>
      </w:r>
      <w:r>
        <w:rPr>
          <w:szCs w:val="20"/>
        </w:rPr>
        <w:t>4</w:t>
      </w:r>
      <w:r w:rsidRPr="00C8014F">
        <w:rPr>
          <w:szCs w:val="20"/>
        </w:rPr>
        <w:t xml:space="preserve"> </w:t>
      </w:r>
      <w:r>
        <w:rPr>
          <w:szCs w:val="20"/>
        </w:rPr>
        <w:t xml:space="preserve">gecorrigeerde </w:t>
      </w:r>
      <w:r w:rsidRPr="00C8014F">
        <w:rPr>
          <w:szCs w:val="20"/>
        </w:rPr>
        <w:t>inschatting van aanbieders die geen gegevens aanleveren in het monitoringssysteem (0,6 miljoen).</w:t>
      </w:r>
    </w:p>
    <w:p w14:paraId="54D3062B" w14:textId="77777777" w:rsidR="00D81C87" w:rsidRPr="00D558B2" w:rsidRDefault="00D81C87" w:rsidP="00D81C87">
      <w:pPr>
        <w:numPr>
          <w:ilvl w:val="0"/>
          <w:numId w:val="16"/>
        </w:numPr>
        <w:rPr>
          <w:szCs w:val="20"/>
        </w:rPr>
      </w:pPr>
      <w:r>
        <w:rPr>
          <w:szCs w:val="20"/>
        </w:rPr>
        <w:t>Een</w:t>
      </w:r>
      <w:r w:rsidRPr="00D558B2">
        <w:rPr>
          <w:szCs w:val="20"/>
        </w:rPr>
        <w:t xml:space="preserve"> toename van de facturatie van met name (nieuwe</w:t>
      </w:r>
      <w:r>
        <w:rPr>
          <w:szCs w:val="20"/>
        </w:rPr>
        <w:t xml:space="preserve"> ZIN</w:t>
      </w:r>
      <w:r w:rsidRPr="00D558B2">
        <w:rPr>
          <w:szCs w:val="20"/>
        </w:rPr>
        <w:t>)aanbieders met een omzet van minder dan 0,5 miljoen</w:t>
      </w:r>
      <w:r>
        <w:rPr>
          <w:szCs w:val="20"/>
        </w:rPr>
        <w:t>. Zij dragen bij aan een zorgoverschrijding ter grootte van 1,4 miljoen.</w:t>
      </w:r>
    </w:p>
    <w:p w14:paraId="3EA07EC8" w14:textId="77777777" w:rsidR="00D81C87" w:rsidRPr="00C8014F" w:rsidRDefault="00D81C87" w:rsidP="00D81C87">
      <w:pPr>
        <w:rPr>
          <w:szCs w:val="20"/>
        </w:rPr>
      </w:pPr>
    </w:p>
    <w:p w14:paraId="7E1166C2" w14:textId="4461AC13" w:rsidR="00D81C87" w:rsidRPr="003F4A41" w:rsidRDefault="00D81C87" w:rsidP="003F4A41">
      <w:pPr>
        <w:rPr>
          <w:szCs w:val="20"/>
        </w:rPr>
      </w:pPr>
      <w:r w:rsidRPr="00C8014F">
        <w:rPr>
          <w:b/>
          <w:sz w:val="34"/>
          <w:szCs w:val="34"/>
        </w:rPr>
        <w:t>Van 2016 t.o.v. 2015</w:t>
      </w:r>
      <w:r>
        <w:rPr>
          <w:b/>
          <w:sz w:val="34"/>
          <w:szCs w:val="34"/>
        </w:rPr>
        <w:t>; Algemene beeld</w:t>
      </w:r>
    </w:p>
    <w:p w14:paraId="2291AD4F" w14:textId="77777777" w:rsidR="00D81C87" w:rsidRDefault="00D81C87" w:rsidP="00D81C87">
      <w:pPr>
        <w:rPr>
          <w:szCs w:val="20"/>
        </w:rPr>
      </w:pPr>
    </w:p>
    <w:p w14:paraId="49B27D8D" w14:textId="17801BE7" w:rsidR="00D81C87" w:rsidRPr="00E63633" w:rsidRDefault="00B83AFC" w:rsidP="00D81C87">
      <w:pPr>
        <w:rPr>
          <w:b/>
          <w:i/>
          <w:szCs w:val="20"/>
        </w:rPr>
      </w:pPr>
      <w:r>
        <w:rPr>
          <w:b/>
          <w:i/>
          <w:szCs w:val="20"/>
        </w:rPr>
        <w:t>Zorggebruik</w:t>
      </w:r>
    </w:p>
    <w:p w14:paraId="5F87597F" w14:textId="77777777" w:rsidR="00D81C87" w:rsidRPr="00E63633" w:rsidRDefault="00D81C87" w:rsidP="00D81C87">
      <w:pPr>
        <w:numPr>
          <w:ilvl w:val="0"/>
          <w:numId w:val="16"/>
        </w:numPr>
        <w:rPr>
          <w:szCs w:val="20"/>
        </w:rPr>
      </w:pPr>
      <w:r w:rsidRPr="004B0195">
        <w:rPr>
          <w:szCs w:val="20"/>
        </w:rPr>
        <w:t>Als we het zorggebruik (uitgedrukt in uitgaven) van 2015 afzetten tegen de prognose voor heel 2016 zien we dat de zorgaanbieders nagenoeg evenve</w:t>
      </w:r>
      <w:r w:rsidRPr="00703254">
        <w:rPr>
          <w:szCs w:val="20"/>
        </w:rPr>
        <w:t>el jeugdhulp verlenen als vorig jaar</w:t>
      </w:r>
      <w:r w:rsidRPr="002F4B4A">
        <w:rPr>
          <w:szCs w:val="20"/>
        </w:rPr>
        <w:t xml:space="preserve">. </w:t>
      </w:r>
      <w:r w:rsidRPr="004B0195">
        <w:rPr>
          <w:szCs w:val="20"/>
        </w:rPr>
        <w:t>Dit zorggebruik is exclusief de geleverde zorg in de lokale teams en inclusief de zorg gefinancierd uit de PGB.</w:t>
      </w:r>
    </w:p>
    <w:p w14:paraId="66813DB8" w14:textId="77777777" w:rsidR="00D81C87" w:rsidRPr="00E63633" w:rsidRDefault="00D81C87" w:rsidP="00D81C87">
      <w:pPr>
        <w:numPr>
          <w:ilvl w:val="0"/>
          <w:numId w:val="16"/>
        </w:numPr>
        <w:rPr>
          <w:szCs w:val="20"/>
        </w:rPr>
      </w:pPr>
      <w:r w:rsidRPr="00E63633">
        <w:rPr>
          <w:szCs w:val="20"/>
        </w:rPr>
        <w:t>Het feitelijk gebruik (uitgaven) gefinancierd vanuit de PGB ligt voor 2016 op 4,9 miljoen.</w:t>
      </w:r>
      <w:r w:rsidRPr="002F4B4A">
        <w:t xml:space="preserve"> </w:t>
      </w:r>
      <w:r w:rsidRPr="004B0195">
        <w:rPr>
          <w:szCs w:val="20"/>
        </w:rPr>
        <w:t>Op 1 januari 2016 was voor PGB 7,9 miljoen begroot (op basis van 2015).</w:t>
      </w:r>
      <w:r w:rsidRPr="00E63633">
        <w:rPr>
          <w:szCs w:val="20"/>
        </w:rPr>
        <w:t xml:space="preserve"> Het verschil is substitutie naar Zorg in Natura.</w:t>
      </w:r>
    </w:p>
    <w:p w14:paraId="733AF81A" w14:textId="77777777" w:rsidR="00D81C87" w:rsidRDefault="00D81C87" w:rsidP="00D81C87"/>
    <w:p w14:paraId="709C86A4" w14:textId="77777777" w:rsidR="00D81C87" w:rsidRDefault="00D81C87" w:rsidP="00D81C87">
      <w:pPr>
        <w:rPr>
          <w:szCs w:val="20"/>
          <w:highlight w:val="yellow"/>
        </w:rPr>
      </w:pPr>
    </w:p>
    <w:p w14:paraId="7C20ADE2" w14:textId="5733444D" w:rsidR="00D81C87" w:rsidRPr="00EF3509" w:rsidRDefault="00D81C87" w:rsidP="00D81C87">
      <w:pPr>
        <w:rPr>
          <w:b/>
          <w:i/>
          <w:szCs w:val="20"/>
        </w:rPr>
      </w:pPr>
      <w:r w:rsidRPr="00EF3509">
        <w:rPr>
          <w:b/>
          <w:i/>
          <w:szCs w:val="20"/>
        </w:rPr>
        <w:t xml:space="preserve">Algemeen beeld </w:t>
      </w:r>
    </w:p>
    <w:p w14:paraId="0CBBC11F" w14:textId="1FC965BE" w:rsidR="00D81C87" w:rsidRPr="00217972" w:rsidRDefault="00D81C87" w:rsidP="00D81C87">
      <w:pPr>
        <w:numPr>
          <w:ilvl w:val="0"/>
          <w:numId w:val="16"/>
        </w:numPr>
        <w:rPr>
          <w:szCs w:val="20"/>
        </w:rPr>
      </w:pPr>
      <w:r w:rsidRPr="00217972">
        <w:rPr>
          <w:szCs w:val="20"/>
        </w:rPr>
        <w:t xml:space="preserve">Het totale Macrobudget Jeugd voor de hele </w:t>
      </w:r>
      <w:r w:rsidR="00276E72">
        <w:rPr>
          <w:szCs w:val="20"/>
        </w:rPr>
        <w:t>jeugdhulp</w:t>
      </w:r>
      <w:r w:rsidRPr="00217972">
        <w:rPr>
          <w:szCs w:val="20"/>
        </w:rPr>
        <w:t xml:space="preserve">regio FoodValley wordt op basis van de huidige beschikbare gegevens met 4,4 miljoen overschreden. In </w:t>
      </w:r>
      <w:r>
        <w:rPr>
          <w:szCs w:val="20"/>
        </w:rPr>
        <w:t>het overzicht</w:t>
      </w:r>
      <w:r w:rsidRPr="00217972">
        <w:rPr>
          <w:szCs w:val="20"/>
        </w:rPr>
        <w:t xml:space="preserve"> zijn ook de geraamde lokale kosten opgenomen (uitvoeringskosten, uitgaven aan wijkteam en uitgaven aan toegang en toeleiding). Voor de lokale uitgaven in de vorm van PGB-uitgaven is als aanname uitgegaan van de eigen opgave per gemeente.</w:t>
      </w:r>
    </w:p>
    <w:p w14:paraId="19EC8C38" w14:textId="41261B52" w:rsidR="00D81C87" w:rsidRDefault="00D81C87" w:rsidP="00D81C87">
      <w:pPr>
        <w:numPr>
          <w:ilvl w:val="0"/>
          <w:numId w:val="16"/>
        </w:numPr>
        <w:rPr>
          <w:szCs w:val="20"/>
        </w:rPr>
      </w:pPr>
      <w:r w:rsidRPr="00217972">
        <w:rPr>
          <w:szCs w:val="20"/>
        </w:rPr>
        <w:t xml:space="preserve">Belangrijk is ook om te accentueren dat de opbrengsten van veel werkgroepen met bijbehorende </w:t>
      </w:r>
      <w:r w:rsidRPr="00116A97">
        <w:rPr>
          <w:szCs w:val="20"/>
        </w:rPr>
        <w:t xml:space="preserve">maatregelen enerzijds niet één op één zijn te vertalen naar geld en anderzijds </w:t>
      </w:r>
      <w:r w:rsidR="000C7AC3">
        <w:rPr>
          <w:szCs w:val="20"/>
        </w:rPr>
        <w:t xml:space="preserve">nog </w:t>
      </w:r>
      <w:r w:rsidRPr="00116A97">
        <w:rPr>
          <w:szCs w:val="20"/>
        </w:rPr>
        <w:t>geen direct effect sorteren in 2016.</w:t>
      </w:r>
    </w:p>
    <w:p w14:paraId="2E3EEEBE" w14:textId="77777777" w:rsidR="00274802" w:rsidRDefault="00274802" w:rsidP="00274802">
      <w:pPr>
        <w:numPr>
          <w:ilvl w:val="0"/>
          <w:numId w:val="16"/>
        </w:numPr>
        <w:rPr>
          <w:szCs w:val="20"/>
        </w:rPr>
      </w:pPr>
      <w:r>
        <w:rPr>
          <w:szCs w:val="20"/>
        </w:rPr>
        <w:t>In totaal is het budget voor Jeugdhulp die door de zorgaanbieders wordt geleverd (zowel ZIN als PGB gedaald van 63,6 naar 58,0 miljoen.</w:t>
      </w:r>
    </w:p>
    <w:p w14:paraId="1FB99968" w14:textId="77777777" w:rsidR="00274802" w:rsidRPr="00116A97" w:rsidRDefault="00274802" w:rsidP="00EF3509">
      <w:pPr>
        <w:ind w:left="720"/>
        <w:rPr>
          <w:szCs w:val="20"/>
        </w:rPr>
      </w:pPr>
    </w:p>
    <w:p w14:paraId="22CBFE89" w14:textId="77777777" w:rsidR="00D81C87" w:rsidRPr="00116A97" w:rsidRDefault="00D81C87" w:rsidP="00D81C87">
      <w:pPr>
        <w:rPr>
          <w:szCs w:val="20"/>
        </w:rPr>
      </w:pPr>
    </w:p>
    <w:p w14:paraId="06F09E79" w14:textId="3DA4BD47" w:rsidR="00D81C87" w:rsidRPr="00116A97" w:rsidRDefault="00D81C87" w:rsidP="00D81C87">
      <w:pPr>
        <w:keepNext/>
        <w:keepLines/>
        <w:rPr>
          <w:sz w:val="16"/>
          <w:szCs w:val="16"/>
        </w:rPr>
      </w:pPr>
      <w:r w:rsidRPr="00116A97">
        <w:rPr>
          <w:sz w:val="16"/>
          <w:szCs w:val="16"/>
        </w:rPr>
        <w:t xml:space="preserve">Grafiek </w:t>
      </w:r>
      <w:r w:rsidR="00335F68">
        <w:rPr>
          <w:sz w:val="16"/>
          <w:szCs w:val="16"/>
        </w:rPr>
        <w:t>1</w:t>
      </w:r>
      <w:r w:rsidRPr="00116A97">
        <w:rPr>
          <w:sz w:val="16"/>
          <w:szCs w:val="16"/>
        </w:rPr>
        <w:t>: Het resultaat 2015, budget 2016 en Prognose 2016 (in euro’s)</w:t>
      </w:r>
    </w:p>
    <w:p w14:paraId="57FC2D1F" w14:textId="3EAD9CB0" w:rsidR="00D81C87" w:rsidRPr="007307BE" w:rsidRDefault="00D81C87" w:rsidP="00D81C87">
      <w:pPr>
        <w:keepNext/>
        <w:keepLines/>
        <w:rPr>
          <w:szCs w:val="20"/>
          <w:highlight w:val="yellow"/>
        </w:rPr>
      </w:pPr>
      <w:r w:rsidRPr="00863218">
        <w:rPr>
          <w:noProof/>
          <w:lang w:eastAsia="nl-NL"/>
        </w:rPr>
        <w:drawing>
          <wp:inline distT="0" distB="0" distL="0" distR="0" wp14:anchorId="168CD5DD" wp14:editId="52C084A5">
            <wp:extent cx="3306445" cy="2487295"/>
            <wp:effectExtent l="0" t="0" r="8255"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6445" cy="2487295"/>
                    </a:xfrm>
                    <a:prstGeom prst="rect">
                      <a:avLst/>
                    </a:prstGeom>
                    <a:noFill/>
                    <a:ln>
                      <a:noFill/>
                    </a:ln>
                  </pic:spPr>
                </pic:pic>
              </a:graphicData>
            </a:graphic>
          </wp:inline>
        </w:drawing>
      </w:r>
    </w:p>
    <w:p w14:paraId="005BDBB4" w14:textId="77777777" w:rsidR="00D81C87" w:rsidRDefault="00D81C87" w:rsidP="00D81C87">
      <w:pPr>
        <w:rPr>
          <w:szCs w:val="20"/>
        </w:rPr>
      </w:pPr>
    </w:p>
    <w:p w14:paraId="5F0828E8" w14:textId="77777777" w:rsidR="00D81C87" w:rsidRDefault="00D81C87" w:rsidP="00D81C87">
      <w:pPr>
        <w:rPr>
          <w:szCs w:val="20"/>
        </w:rPr>
      </w:pPr>
    </w:p>
    <w:p w14:paraId="1215DA71" w14:textId="77777777" w:rsidR="00335F68" w:rsidRDefault="00335F68">
      <w:pPr>
        <w:suppressAutoHyphens w:val="0"/>
        <w:rPr>
          <w:b/>
          <w:sz w:val="32"/>
          <w:szCs w:val="32"/>
        </w:rPr>
      </w:pPr>
      <w:r>
        <w:rPr>
          <w:b/>
          <w:sz w:val="32"/>
          <w:szCs w:val="32"/>
        </w:rPr>
        <w:br w:type="page"/>
      </w:r>
    </w:p>
    <w:p w14:paraId="5716460A" w14:textId="34DCB4EE" w:rsidR="00D81C87" w:rsidRPr="00D75084" w:rsidRDefault="00D81C87" w:rsidP="00D81C87">
      <w:pPr>
        <w:rPr>
          <w:b/>
          <w:sz w:val="32"/>
          <w:szCs w:val="32"/>
        </w:rPr>
      </w:pPr>
      <w:r w:rsidRPr="00D75084">
        <w:rPr>
          <w:b/>
          <w:sz w:val="32"/>
          <w:szCs w:val="32"/>
        </w:rPr>
        <w:lastRenderedPageBreak/>
        <w:t xml:space="preserve">Zorggebruik op Perceelniveau </w:t>
      </w:r>
    </w:p>
    <w:p w14:paraId="0C89DC3B" w14:textId="77777777" w:rsidR="00D81C87" w:rsidRDefault="00D81C87" w:rsidP="00D81C87">
      <w:pPr>
        <w:rPr>
          <w:szCs w:val="20"/>
        </w:rPr>
      </w:pPr>
    </w:p>
    <w:p w14:paraId="1FD27ACF" w14:textId="77777777" w:rsidR="00D81C87" w:rsidRPr="00695075" w:rsidRDefault="00D81C87" w:rsidP="00D81C87">
      <w:pPr>
        <w:rPr>
          <w:szCs w:val="20"/>
        </w:rPr>
      </w:pPr>
      <w:r w:rsidRPr="00695075">
        <w:rPr>
          <w:szCs w:val="20"/>
        </w:rPr>
        <w:t xml:space="preserve">Dit algemene beeld kan worden verbijzonderd naar verschillende percelen. We onderscheiden het perceel veiligheid, het perceel ambulant en het perceel verblijf. De benodigde acties / interventies zijn verschillend per perceel. </w:t>
      </w:r>
    </w:p>
    <w:p w14:paraId="68BE1397" w14:textId="77777777" w:rsidR="00D81C87" w:rsidRPr="00695075" w:rsidRDefault="00D81C87" w:rsidP="00D81C87">
      <w:pPr>
        <w:rPr>
          <w:szCs w:val="20"/>
        </w:rPr>
      </w:pPr>
    </w:p>
    <w:p w14:paraId="5F027121" w14:textId="77777777" w:rsidR="00D81C87" w:rsidRPr="00695075" w:rsidRDefault="00D81C87" w:rsidP="00D81C87">
      <w:pPr>
        <w:keepNext/>
        <w:keepLines/>
        <w:rPr>
          <w:b/>
          <w:i/>
          <w:szCs w:val="20"/>
        </w:rPr>
      </w:pPr>
      <w:r w:rsidRPr="00695075">
        <w:rPr>
          <w:b/>
          <w:i/>
          <w:szCs w:val="20"/>
        </w:rPr>
        <w:t>Het perceel Veiligheid</w:t>
      </w:r>
    </w:p>
    <w:p w14:paraId="7BBAE0B1" w14:textId="00A78A45" w:rsidR="00D81C87" w:rsidRPr="00695075" w:rsidRDefault="00D81C87" w:rsidP="00D81C87">
      <w:pPr>
        <w:keepNext/>
        <w:keepLines/>
        <w:rPr>
          <w:szCs w:val="20"/>
        </w:rPr>
      </w:pPr>
      <w:r w:rsidRPr="00695075">
        <w:rPr>
          <w:szCs w:val="20"/>
        </w:rPr>
        <w:t xml:space="preserve">In 2016 is met de Gecertificeerde instellingen </w:t>
      </w:r>
      <w:r w:rsidR="000C7AC3">
        <w:rPr>
          <w:szCs w:val="20"/>
        </w:rPr>
        <w:t xml:space="preserve">(hierna GI’s) </w:t>
      </w:r>
      <w:r w:rsidRPr="00695075">
        <w:rPr>
          <w:szCs w:val="20"/>
        </w:rPr>
        <w:t xml:space="preserve">afgesproken dat wij hen financieren op basis van geleverde zorg. De </w:t>
      </w:r>
      <w:r w:rsidR="000C7AC3">
        <w:rPr>
          <w:szCs w:val="20"/>
        </w:rPr>
        <w:t>omvang van ingezette maatregelen</w:t>
      </w:r>
      <w:r w:rsidRPr="00695075">
        <w:rPr>
          <w:szCs w:val="20"/>
        </w:rPr>
        <w:t xml:space="preserve"> blijft voor onze regio duidelijk achter bij het resultaat in 2015 en de verwachting voor 2016. We zien in de cijfers een daling van cliënten met een OTS-maatregel (langer dan een jaar) en van de Jeugdreclasseringsmaatregelen. Dit lijkt te komen door de trend om OTS cliënten n</w:t>
      </w:r>
      <w:r w:rsidR="00276E72">
        <w:rPr>
          <w:szCs w:val="20"/>
        </w:rPr>
        <w:t>iet te lang in OTS te houden en/</w:t>
      </w:r>
      <w:r w:rsidRPr="00695075">
        <w:rPr>
          <w:szCs w:val="20"/>
        </w:rPr>
        <w:t xml:space="preserve">of af te schalen of waar dit niet mogelijk is sneller over te </w:t>
      </w:r>
      <w:r w:rsidR="00276E72">
        <w:rPr>
          <w:szCs w:val="20"/>
        </w:rPr>
        <w:t>gaan tot (instellings)voogdij. Z</w:t>
      </w:r>
      <w:r w:rsidRPr="00695075">
        <w:rPr>
          <w:szCs w:val="20"/>
        </w:rPr>
        <w:t>ie perceel verblijf voor gevolgen (instellings)voogdij.</w:t>
      </w:r>
    </w:p>
    <w:p w14:paraId="4B4AE11C" w14:textId="77777777" w:rsidR="00D81C87" w:rsidRPr="00695075" w:rsidRDefault="00D81C87" w:rsidP="00D81C87">
      <w:pPr>
        <w:rPr>
          <w:szCs w:val="20"/>
        </w:rPr>
      </w:pPr>
    </w:p>
    <w:p w14:paraId="12AABDED" w14:textId="77777777" w:rsidR="00D81C87" w:rsidRPr="00695075" w:rsidRDefault="00D81C87" w:rsidP="00D81C87">
      <w:pPr>
        <w:rPr>
          <w:i/>
          <w:szCs w:val="20"/>
        </w:rPr>
      </w:pPr>
      <w:r w:rsidRPr="00695075">
        <w:rPr>
          <w:i/>
          <w:szCs w:val="20"/>
        </w:rPr>
        <w:t>Actie Perceel Veiligheid</w:t>
      </w:r>
    </w:p>
    <w:p w14:paraId="3B44DCE7" w14:textId="6FD0601B" w:rsidR="00D81C87" w:rsidRPr="00695075" w:rsidRDefault="00D81C87" w:rsidP="00D81C87">
      <w:pPr>
        <w:numPr>
          <w:ilvl w:val="0"/>
          <w:numId w:val="19"/>
        </w:numPr>
        <w:rPr>
          <w:szCs w:val="20"/>
        </w:rPr>
      </w:pPr>
      <w:r w:rsidRPr="00695075">
        <w:rPr>
          <w:szCs w:val="20"/>
        </w:rPr>
        <w:t>In de werkgroep Veiligheid is het afnemende gebruik besproken. Het is nog te vroeg om te concluderen dat deze trend structureel is</w:t>
      </w:r>
      <w:r w:rsidR="00276E72">
        <w:rPr>
          <w:szCs w:val="20"/>
        </w:rPr>
        <w:t>. Afgesproken is de consultatie</w:t>
      </w:r>
      <w:r w:rsidRPr="00695075">
        <w:rPr>
          <w:szCs w:val="20"/>
        </w:rPr>
        <w:t xml:space="preserve">functie concreter inhoud te geven door </w:t>
      </w:r>
      <w:r w:rsidRPr="00695075">
        <w:t>bij vermoeden van onveiligheid</w:t>
      </w:r>
      <w:r w:rsidR="00276E72">
        <w:rPr>
          <w:szCs w:val="20"/>
        </w:rPr>
        <w:t xml:space="preserve"> de GI</w:t>
      </w:r>
      <w:r w:rsidRPr="00695075">
        <w:rPr>
          <w:szCs w:val="20"/>
        </w:rPr>
        <w:t xml:space="preserve">’s </w:t>
      </w:r>
      <w:r w:rsidRPr="00695075">
        <w:t>stringenter te betrekken. Hiervoor worden bindend</w:t>
      </w:r>
      <w:r w:rsidR="00276E72">
        <w:t>e afspraken gemaakt tussen de GI</w:t>
      </w:r>
      <w:r w:rsidRPr="00695075">
        <w:t>'s en de lokale teams. Doel is structurele vermindering van drang en dwang trajecten.</w:t>
      </w:r>
      <w:r w:rsidRPr="00695075">
        <w:br/>
      </w:r>
    </w:p>
    <w:p w14:paraId="5BDB5F69" w14:textId="73FE202F" w:rsidR="00D81C87" w:rsidRPr="00695075" w:rsidRDefault="00D81C87" w:rsidP="00D81C87">
      <w:pPr>
        <w:rPr>
          <w:sz w:val="16"/>
          <w:szCs w:val="16"/>
        </w:rPr>
      </w:pPr>
      <w:r w:rsidRPr="00695075">
        <w:rPr>
          <w:sz w:val="16"/>
          <w:szCs w:val="16"/>
        </w:rPr>
        <w:t xml:space="preserve">Grafiek </w:t>
      </w:r>
      <w:r w:rsidR="00335F68">
        <w:rPr>
          <w:sz w:val="16"/>
          <w:szCs w:val="16"/>
        </w:rPr>
        <w:t>2</w:t>
      </w:r>
      <w:r w:rsidRPr="00695075">
        <w:rPr>
          <w:sz w:val="16"/>
          <w:szCs w:val="16"/>
        </w:rPr>
        <w:t>: Perceel Veiligheid: Resultaat 2015, budget 2016 en Prognose 2016</w:t>
      </w:r>
      <w:r>
        <w:rPr>
          <w:sz w:val="16"/>
          <w:szCs w:val="16"/>
        </w:rPr>
        <w:t xml:space="preserve"> </w:t>
      </w:r>
      <w:r w:rsidRPr="00695075">
        <w:rPr>
          <w:sz w:val="16"/>
          <w:szCs w:val="16"/>
        </w:rPr>
        <w:t>(in euro’s).</w:t>
      </w:r>
    </w:p>
    <w:p w14:paraId="09E822A7" w14:textId="77777777" w:rsidR="00D81C87" w:rsidRPr="00695075" w:rsidRDefault="00D81C87" w:rsidP="00D81C87">
      <w:pPr>
        <w:rPr>
          <w:sz w:val="16"/>
          <w:szCs w:val="16"/>
        </w:rPr>
      </w:pPr>
      <w:r w:rsidRPr="00695075">
        <w:rPr>
          <w:sz w:val="16"/>
          <w:szCs w:val="16"/>
        </w:rPr>
        <w:t>(Inclusief 1,57% loon- en prijscompensatie in prognose 2016)</w:t>
      </w:r>
    </w:p>
    <w:p w14:paraId="29861C8A" w14:textId="77777777" w:rsidR="00D81C87" w:rsidRPr="007307BE" w:rsidRDefault="00D81C87" w:rsidP="00D81C87">
      <w:pPr>
        <w:rPr>
          <w:szCs w:val="20"/>
          <w:highlight w:val="yellow"/>
        </w:rPr>
      </w:pPr>
    </w:p>
    <w:p w14:paraId="190192A2" w14:textId="24ACA522" w:rsidR="00D81C87" w:rsidRPr="007307BE" w:rsidRDefault="00D81C87" w:rsidP="00D81C87">
      <w:pPr>
        <w:rPr>
          <w:szCs w:val="20"/>
          <w:highlight w:val="yellow"/>
        </w:rPr>
      </w:pPr>
      <w:r w:rsidRPr="00863218">
        <w:rPr>
          <w:noProof/>
          <w:lang w:eastAsia="nl-NL"/>
        </w:rPr>
        <w:drawing>
          <wp:inline distT="0" distB="0" distL="0" distR="0" wp14:anchorId="33F54E09" wp14:editId="67403135">
            <wp:extent cx="3884295" cy="1931035"/>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4295" cy="1931035"/>
                    </a:xfrm>
                    <a:prstGeom prst="rect">
                      <a:avLst/>
                    </a:prstGeom>
                    <a:noFill/>
                    <a:ln>
                      <a:noFill/>
                    </a:ln>
                  </pic:spPr>
                </pic:pic>
              </a:graphicData>
            </a:graphic>
          </wp:inline>
        </w:drawing>
      </w:r>
    </w:p>
    <w:p w14:paraId="6C6302AD" w14:textId="77777777" w:rsidR="00D81C87" w:rsidRPr="007307BE" w:rsidRDefault="00D81C87" w:rsidP="00D81C87">
      <w:pPr>
        <w:rPr>
          <w:szCs w:val="20"/>
          <w:highlight w:val="yellow"/>
        </w:rPr>
      </w:pPr>
    </w:p>
    <w:p w14:paraId="2D6A9F09" w14:textId="77777777" w:rsidR="00D81C87" w:rsidRPr="007307BE" w:rsidRDefault="00D81C87" w:rsidP="00D81C87">
      <w:pPr>
        <w:rPr>
          <w:szCs w:val="20"/>
          <w:highlight w:val="yellow"/>
        </w:rPr>
      </w:pPr>
    </w:p>
    <w:p w14:paraId="6E63DD3B" w14:textId="77777777" w:rsidR="00D81C87" w:rsidRPr="006D0060" w:rsidRDefault="00D81C87" w:rsidP="00D81C87">
      <w:pPr>
        <w:keepNext/>
        <w:keepLines/>
        <w:rPr>
          <w:b/>
          <w:i/>
          <w:szCs w:val="20"/>
        </w:rPr>
      </w:pPr>
      <w:r w:rsidRPr="006D0060">
        <w:rPr>
          <w:b/>
          <w:i/>
          <w:szCs w:val="20"/>
        </w:rPr>
        <w:t>Perceel Ambulant</w:t>
      </w:r>
    </w:p>
    <w:p w14:paraId="598C9672" w14:textId="5ADBA534" w:rsidR="006474CB" w:rsidRDefault="00D81C87" w:rsidP="00D81C87">
      <w:pPr>
        <w:keepNext/>
        <w:keepLines/>
        <w:rPr>
          <w:szCs w:val="20"/>
        </w:rPr>
      </w:pPr>
      <w:r w:rsidRPr="00425FBC">
        <w:rPr>
          <w:szCs w:val="20"/>
        </w:rPr>
        <w:t xml:space="preserve">Voor het perceel ambulant is de financiële opgave </w:t>
      </w:r>
      <w:r w:rsidR="006474CB" w:rsidRPr="00425FBC">
        <w:rPr>
          <w:szCs w:val="20"/>
        </w:rPr>
        <w:t>groot. Dit komt enerzijds door de opgave om GGZ-zorg terug te dringen en anderzijds is in 2016 de ambulante zorg vrijgegeven en bestaat er geen plafond meer voor ambulante zorg. Beide effecten zorgden voor de druk op het ambulante budget.</w:t>
      </w:r>
    </w:p>
    <w:p w14:paraId="7696214E" w14:textId="18BC65D5" w:rsidR="00D81C87" w:rsidRPr="006D0060" w:rsidRDefault="00D81C87" w:rsidP="00D81C87">
      <w:pPr>
        <w:keepNext/>
        <w:keepLines/>
        <w:rPr>
          <w:szCs w:val="20"/>
        </w:rPr>
      </w:pPr>
      <w:r w:rsidRPr="00070732">
        <w:rPr>
          <w:szCs w:val="20"/>
        </w:rPr>
        <w:t>De acties die voortkomen uit de GGZ werkgroep moeten de instroom naar de (specialistische) GGZ verminderen en zoveel mogelijk jeugdigen behandelen op het niveau dat nodig is. De afspraken met de grotere aanbieders zorgen voor een daling van de specialistische GGZ ten opzichte van de realisatie 2015. Deze daling is voor een groot deel te zien bij de klinische GGZ. Bij de kleinere aanbieders is echter nog geen afschaling te zien. De toevoeging van een SOH’er aan een lokaal team of bij de huisartsen binnen de gemeenten moet bijdragen aan een verdere daling van de GGZ-</w:t>
      </w:r>
      <w:r w:rsidR="000C7AC3">
        <w:rPr>
          <w:szCs w:val="20"/>
        </w:rPr>
        <w:t>hulp</w:t>
      </w:r>
      <w:r w:rsidRPr="00070732">
        <w:rPr>
          <w:szCs w:val="20"/>
        </w:rPr>
        <w:t xml:space="preserve">kosten. </w:t>
      </w:r>
      <w:r w:rsidR="000C7AC3">
        <w:rPr>
          <w:szCs w:val="20"/>
        </w:rPr>
        <w:t>De inzet van de SOH-er is vanaf de tweede helft 2016 goed op gang gekomen.</w:t>
      </w:r>
      <w:r w:rsidRPr="00070732">
        <w:rPr>
          <w:szCs w:val="20"/>
        </w:rPr>
        <w:t xml:space="preserve"> De eerste resultaten van de SOH lijken de instroom te beperken</w:t>
      </w:r>
      <w:r w:rsidRPr="006D0060">
        <w:rPr>
          <w:szCs w:val="20"/>
        </w:rPr>
        <w:t>. De werkgroep GGZ zal begin maart rapporteren over de voortgang van de SOH.</w:t>
      </w:r>
    </w:p>
    <w:p w14:paraId="7888A691" w14:textId="77777777" w:rsidR="00D81C87" w:rsidRPr="007307BE" w:rsidRDefault="00D81C87" w:rsidP="00D81C87">
      <w:pPr>
        <w:keepNext/>
        <w:keepLines/>
        <w:rPr>
          <w:szCs w:val="20"/>
          <w:highlight w:val="yellow"/>
        </w:rPr>
      </w:pPr>
    </w:p>
    <w:p w14:paraId="2D6B04FC" w14:textId="46FBE7CC" w:rsidR="00D81C87" w:rsidRPr="00FF458C" w:rsidRDefault="00D81C87" w:rsidP="00D81C87">
      <w:pPr>
        <w:keepNext/>
        <w:keepLines/>
        <w:rPr>
          <w:szCs w:val="20"/>
        </w:rPr>
      </w:pPr>
      <w:r w:rsidRPr="00FF458C">
        <w:rPr>
          <w:szCs w:val="20"/>
        </w:rPr>
        <w:t xml:space="preserve">De gemaakte </w:t>
      </w:r>
      <w:r w:rsidR="00276E72">
        <w:rPr>
          <w:szCs w:val="20"/>
        </w:rPr>
        <w:t>afspraken met de EED (Ernstige E</w:t>
      </w:r>
      <w:r w:rsidRPr="00FF458C">
        <w:rPr>
          <w:szCs w:val="20"/>
        </w:rPr>
        <w:t xml:space="preserve">nkelvoudige Dyslexie) aanbieders </w:t>
      </w:r>
      <w:r>
        <w:rPr>
          <w:szCs w:val="20"/>
        </w:rPr>
        <w:t xml:space="preserve">hebben in 2015 tot een daling van de instroom geleid. Deze daling heeft zich in 2016 niet doorgezet en er is zelfs een stijging te zien voor de regio als totaal met duidelijke verschillen tussen gemeenten. In de </w:t>
      </w:r>
      <w:r w:rsidR="000C7AC3">
        <w:rPr>
          <w:szCs w:val="20"/>
        </w:rPr>
        <w:t>komende</w:t>
      </w:r>
      <w:r>
        <w:rPr>
          <w:szCs w:val="20"/>
        </w:rPr>
        <w:t xml:space="preserve"> jaren ligt het accent op de bekorting van de doorlooptijden van trajecten (zie ook het hoofdstuk Beheersing van de uitgaven)</w:t>
      </w:r>
    </w:p>
    <w:p w14:paraId="7DAAF835" w14:textId="77777777" w:rsidR="00D81C87" w:rsidRPr="00FF458C" w:rsidRDefault="00D81C87" w:rsidP="00D81C87">
      <w:pPr>
        <w:rPr>
          <w:szCs w:val="20"/>
        </w:rPr>
      </w:pPr>
    </w:p>
    <w:p w14:paraId="23010018" w14:textId="6916AF72" w:rsidR="00D81C87" w:rsidRPr="00FF458C" w:rsidRDefault="00D81C87" w:rsidP="00D81C87">
      <w:pPr>
        <w:rPr>
          <w:szCs w:val="20"/>
        </w:rPr>
      </w:pPr>
      <w:r w:rsidRPr="00FF458C">
        <w:rPr>
          <w:szCs w:val="20"/>
        </w:rPr>
        <w:t>Zoals in Q1 aangegeven is bij de ambulante begeleiding (groep</w:t>
      </w:r>
      <w:r w:rsidR="000C7AC3">
        <w:rPr>
          <w:szCs w:val="20"/>
        </w:rPr>
        <w:t xml:space="preserve">, incl. </w:t>
      </w:r>
      <w:r w:rsidRPr="00FF458C">
        <w:rPr>
          <w:szCs w:val="20"/>
        </w:rPr>
        <w:t>daghulp) een sterke groei te zien. Op dit moment zien we veel ‘kleine’ (en voor een groot deel nieuw gecontracteerde) aanbieders. Deze aanbieders bieden ambulante begeleiding (groep) en/of ggz behandeling. Door het openstellen van de markt gecombineerd met het ontbreken van omzetplafond</w:t>
      </w:r>
      <w:r w:rsidR="000C7AC3">
        <w:rPr>
          <w:szCs w:val="20"/>
        </w:rPr>
        <w:t>s</w:t>
      </w:r>
      <w:r w:rsidRPr="00FF458C">
        <w:rPr>
          <w:szCs w:val="20"/>
        </w:rPr>
        <w:t xml:space="preserve"> in het perceel ambulant, alsmede een onduidelijke productafbakening dreigt dit te leiden tot een </w:t>
      </w:r>
      <w:r w:rsidR="000C7AC3">
        <w:rPr>
          <w:szCs w:val="20"/>
        </w:rPr>
        <w:t>volumestijging boven de prognose</w:t>
      </w:r>
      <w:r w:rsidRPr="00FF458C">
        <w:rPr>
          <w:szCs w:val="20"/>
        </w:rPr>
        <w:t xml:space="preserve">. Het kan echter vanuit de </w:t>
      </w:r>
      <w:r w:rsidRPr="00FF458C">
        <w:rPr>
          <w:szCs w:val="20"/>
        </w:rPr>
        <w:lastRenderedPageBreak/>
        <w:t>vraag een bewuste keuze zijn om preventief minder zware / andersoort</w:t>
      </w:r>
      <w:r w:rsidR="000D72E4">
        <w:rPr>
          <w:szCs w:val="20"/>
        </w:rPr>
        <w:t>ige</w:t>
      </w:r>
      <w:r w:rsidRPr="00FF458C">
        <w:rPr>
          <w:szCs w:val="20"/>
        </w:rPr>
        <w:t xml:space="preserve"> ondersteuning in te zetten dan die in het verleden onder de verschillende oude financieringsvormen viel. Bij de reeds in 2015 gecontracteerde aanbieders is geen afname van de ambulante inzet te zien.</w:t>
      </w:r>
    </w:p>
    <w:p w14:paraId="786D4F7D" w14:textId="77777777" w:rsidR="00D81C87" w:rsidRPr="00FF458C" w:rsidRDefault="00D81C87" w:rsidP="00D81C87">
      <w:pPr>
        <w:rPr>
          <w:szCs w:val="20"/>
        </w:rPr>
      </w:pPr>
    </w:p>
    <w:p w14:paraId="148F6626" w14:textId="77777777" w:rsidR="00D81C87" w:rsidRPr="00FF458C" w:rsidRDefault="00D81C87" w:rsidP="00D81C87">
      <w:pPr>
        <w:rPr>
          <w:i/>
          <w:szCs w:val="20"/>
        </w:rPr>
      </w:pPr>
      <w:r w:rsidRPr="00FF458C">
        <w:rPr>
          <w:i/>
          <w:szCs w:val="20"/>
        </w:rPr>
        <w:t>Acties Perceel Ambulant</w:t>
      </w:r>
    </w:p>
    <w:p w14:paraId="5C4E7D78" w14:textId="4ADB610B" w:rsidR="00D81C87" w:rsidRDefault="00D81C87" w:rsidP="00D81C87">
      <w:pPr>
        <w:numPr>
          <w:ilvl w:val="0"/>
          <w:numId w:val="18"/>
        </w:numPr>
        <w:rPr>
          <w:szCs w:val="20"/>
        </w:rPr>
      </w:pPr>
      <w:r w:rsidRPr="00FF458C">
        <w:rPr>
          <w:szCs w:val="20"/>
        </w:rPr>
        <w:t>Verder uitrollen van de SOH-</w:t>
      </w:r>
      <w:r w:rsidR="00276E72">
        <w:rPr>
          <w:szCs w:val="20"/>
        </w:rPr>
        <w:t>project door toevoeging van SOH’</w:t>
      </w:r>
      <w:r w:rsidRPr="00FF458C">
        <w:rPr>
          <w:szCs w:val="20"/>
        </w:rPr>
        <w:t xml:space="preserve">ers aan een lokaal team of huisartsen binnen een gemeente. </w:t>
      </w:r>
    </w:p>
    <w:p w14:paraId="4A30513D" w14:textId="2655AA1E" w:rsidR="00D81C87" w:rsidRPr="00530305" w:rsidRDefault="00D81C87" w:rsidP="00D81C87">
      <w:pPr>
        <w:numPr>
          <w:ilvl w:val="0"/>
          <w:numId w:val="18"/>
        </w:numPr>
        <w:rPr>
          <w:szCs w:val="20"/>
        </w:rPr>
      </w:pPr>
      <w:r>
        <w:rPr>
          <w:szCs w:val="20"/>
        </w:rPr>
        <w:t xml:space="preserve">De oorzaken van de toename van de EED worden onderzocht. Daarbij wordt vooral gekeken naar de verschillen tussen de verschillende gemeenten én de (poortwachters) van de gemeenten onderling. </w:t>
      </w:r>
    </w:p>
    <w:p w14:paraId="55179396" w14:textId="3F6C047C" w:rsidR="003B6607" w:rsidRDefault="00D81C87" w:rsidP="003B6607">
      <w:pPr>
        <w:numPr>
          <w:ilvl w:val="0"/>
          <w:numId w:val="18"/>
        </w:numPr>
        <w:rPr>
          <w:szCs w:val="20"/>
        </w:rPr>
      </w:pPr>
      <w:r w:rsidRPr="00E3113F">
        <w:rPr>
          <w:szCs w:val="20"/>
        </w:rPr>
        <w:t>Duidelijker productafbakening waarbij afstemming met lokale toegang over de voorwaarden waaronder aanbieders begeleiding/behandeling mogen inzetten bij verblijf (onder welke voorwaarden mag stap</w:t>
      </w:r>
      <w:r>
        <w:rPr>
          <w:szCs w:val="20"/>
        </w:rPr>
        <w:t>eling</w:t>
      </w:r>
      <w:r w:rsidRPr="00E3113F">
        <w:rPr>
          <w:szCs w:val="20"/>
        </w:rPr>
        <w:t xml:space="preserve"> wel of niet).</w:t>
      </w:r>
      <w:r w:rsidR="003B6607">
        <w:rPr>
          <w:szCs w:val="20"/>
        </w:rPr>
        <w:t xml:space="preserve"> </w:t>
      </w:r>
    </w:p>
    <w:p w14:paraId="1B0E6AEE" w14:textId="77777777" w:rsidR="003B6607" w:rsidRDefault="003B6607" w:rsidP="003B6607">
      <w:pPr>
        <w:ind w:left="720"/>
        <w:rPr>
          <w:szCs w:val="20"/>
        </w:rPr>
      </w:pPr>
    </w:p>
    <w:p w14:paraId="2E46B7DB" w14:textId="7725B1A4" w:rsidR="00D81C87" w:rsidRPr="007307BE" w:rsidRDefault="003B6607" w:rsidP="003B6607">
      <w:pPr>
        <w:rPr>
          <w:szCs w:val="20"/>
          <w:highlight w:val="yellow"/>
        </w:rPr>
      </w:pPr>
      <w:r w:rsidRPr="003B6607">
        <w:rPr>
          <w:sz w:val="16"/>
          <w:szCs w:val="16"/>
        </w:rPr>
        <w:t>G</w:t>
      </w:r>
      <w:r w:rsidR="00D81C87" w:rsidRPr="003B6607">
        <w:rPr>
          <w:sz w:val="16"/>
          <w:szCs w:val="16"/>
        </w:rPr>
        <w:t xml:space="preserve">rafiek </w:t>
      </w:r>
      <w:r w:rsidR="00335F68">
        <w:rPr>
          <w:sz w:val="16"/>
          <w:szCs w:val="16"/>
        </w:rPr>
        <w:t>3</w:t>
      </w:r>
      <w:r w:rsidR="00E8342F" w:rsidRPr="003B6607">
        <w:rPr>
          <w:sz w:val="16"/>
          <w:szCs w:val="16"/>
        </w:rPr>
        <w:t>:</w:t>
      </w:r>
      <w:r w:rsidR="00D81C87" w:rsidRPr="003B6607">
        <w:rPr>
          <w:sz w:val="16"/>
          <w:szCs w:val="16"/>
        </w:rPr>
        <w:t xml:space="preserve"> Perceel Ambulant: resultaat 2015, budget 2016 en Prognose 2016 (in euro’s)</w:t>
      </w:r>
      <w:r>
        <w:rPr>
          <w:sz w:val="16"/>
          <w:szCs w:val="16"/>
        </w:rPr>
        <w:t xml:space="preserve"> </w:t>
      </w:r>
      <w:r w:rsidR="00D81C87" w:rsidRPr="00FF458C">
        <w:rPr>
          <w:sz w:val="16"/>
          <w:szCs w:val="16"/>
        </w:rPr>
        <w:t>(Inclusief 1,57% loon- en prijscompensatie in prognose 2016)</w:t>
      </w:r>
      <w:r w:rsidR="00D81C87" w:rsidRPr="00863218">
        <w:rPr>
          <w:noProof/>
          <w:lang w:eastAsia="nl-NL"/>
        </w:rPr>
        <w:drawing>
          <wp:inline distT="0" distB="0" distL="0" distR="0" wp14:anchorId="64BF856F" wp14:editId="6E7131B8">
            <wp:extent cx="5542280" cy="2745105"/>
            <wp:effectExtent l="0" t="0" r="1270" b="17145"/>
            <wp:docPr id="2" name="Grafiek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A081935" w14:textId="77777777" w:rsidR="00D81C87" w:rsidRDefault="00D81C87" w:rsidP="00D81C87">
      <w:pPr>
        <w:keepNext/>
        <w:keepLines/>
        <w:rPr>
          <w:b/>
          <w:szCs w:val="20"/>
          <w:highlight w:val="yellow"/>
        </w:rPr>
      </w:pPr>
    </w:p>
    <w:p w14:paraId="53BBFF7D" w14:textId="77777777" w:rsidR="00D81C87" w:rsidRPr="007307BE" w:rsidRDefault="00D81C87" w:rsidP="00D81C87">
      <w:pPr>
        <w:keepNext/>
        <w:keepLines/>
        <w:rPr>
          <w:b/>
          <w:szCs w:val="20"/>
          <w:highlight w:val="yellow"/>
        </w:rPr>
      </w:pPr>
    </w:p>
    <w:p w14:paraId="6E453433" w14:textId="77777777" w:rsidR="00D81C87" w:rsidRPr="00276E72" w:rsidRDefault="00D81C87" w:rsidP="00D81C87">
      <w:pPr>
        <w:keepNext/>
        <w:keepLines/>
        <w:rPr>
          <w:i/>
          <w:szCs w:val="20"/>
        </w:rPr>
      </w:pPr>
      <w:r w:rsidRPr="00276E72">
        <w:rPr>
          <w:b/>
          <w:i/>
          <w:szCs w:val="20"/>
        </w:rPr>
        <w:t>Perceel Verblijf</w:t>
      </w:r>
    </w:p>
    <w:p w14:paraId="6FF087E7" w14:textId="2DF4DCBE" w:rsidR="00D81C87" w:rsidRPr="00B978A9" w:rsidRDefault="00276E72" w:rsidP="00D81C87">
      <w:pPr>
        <w:keepNext/>
        <w:keepLines/>
        <w:rPr>
          <w:szCs w:val="20"/>
        </w:rPr>
      </w:pPr>
      <w:r>
        <w:rPr>
          <w:szCs w:val="20"/>
        </w:rPr>
        <w:t>In onderstaand</w:t>
      </w:r>
      <w:r w:rsidR="00D81C87" w:rsidRPr="00B978A9">
        <w:rPr>
          <w:szCs w:val="20"/>
        </w:rPr>
        <w:t xml:space="preserve"> figuur is een stijging </w:t>
      </w:r>
      <w:r w:rsidR="000D72E4">
        <w:rPr>
          <w:szCs w:val="20"/>
        </w:rPr>
        <w:t xml:space="preserve">te zien </w:t>
      </w:r>
      <w:r w:rsidR="00D81C87" w:rsidRPr="00B978A9">
        <w:rPr>
          <w:szCs w:val="20"/>
        </w:rPr>
        <w:t>van 3,1 miljoen</w:t>
      </w:r>
      <w:r w:rsidR="00D81C87">
        <w:rPr>
          <w:szCs w:val="20"/>
        </w:rPr>
        <w:t xml:space="preserve"> (17%)</w:t>
      </w:r>
      <w:r w:rsidR="00D81C87" w:rsidRPr="00B978A9">
        <w:rPr>
          <w:szCs w:val="20"/>
        </w:rPr>
        <w:t xml:space="preserve"> ten opzichte van het resultaat van 2015</w:t>
      </w:r>
      <w:r w:rsidR="00D81C87">
        <w:rPr>
          <w:szCs w:val="20"/>
        </w:rPr>
        <w:t xml:space="preserve"> (18,6 miljoen 2015 naar 21,8 miljoen 2016)</w:t>
      </w:r>
      <w:r w:rsidR="00D81C87" w:rsidRPr="00B978A9">
        <w:rPr>
          <w:szCs w:val="20"/>
        </w:rPr>
        <w:t xml:space="preserve">. </w:t>
      </w:r>
    </w:p>
    <w:p w14:paraId="799AA106" w14:textId="77777777" w:rsidR="00D81C87" w:rsidRPr="00B978A9" w:rsidRDefault="00D81C87" w:rsidP="00D81C87">
      <w:pPr>
        <w:keepNext/>
        <w:keepLines/>
        <w:rPr>
          <w:szCs w:val="20"/>
        </w:rPr>
      </w:pPr>
    </w:p>
    <w:p w14:paraId="3C2069FA" w14:textId="25C53ABE" w:rsidR="00D81C87" w:rsidRDefault="00D81C87" w:rsidP="00D81C87">
      <w:pPr>
        <w:keepNext/>
        <w:keepLines/>
        <w:rPr>
          <w:szCs w:val="20"/>
        </w:rPr>
      </w:pPr>
      <w:r w:rsidRPr="00B978A9">
        <w:rPr>
          <w:szCs w:val="20"/>
        </w:rPr>
        <w:t xml:space="preserve">Bij bepaalde vormen van verblijf is het </w:t>
      </w:r>
      <w:r>
        <w:rPr>
          <w:szCs w:val="20"/>
        </w:rPr>
        <w:t xml:space="preserve">gebruik </w:t>
      </w:r>
      <w:r w:rsidRPr="00B978A9">
        <w:rPr>
          <w:szCs w:val="20"/>
        </w:rPr>
        <w:t>aan het toenemen</w:t>
      </w:r>
      <w:r w:rsidR="000D72E4">
        <w:rPr>
          <w:szCs w:val="20"/>
        </w:rPr>
        <w:t>:</w:t>
      </w:r>
      <w:r w:rsidRPr="00B978A9">
        <w:rPr>
          <w:szCs w:val="20"/>
        </w:rPr>
        <w:t xml:space="preserve"> </w:t>
      </w:r>
    </w:p>
    <w:p w14:paraId="428E6CF8" w14:textId="7034F8C9" w:rsidR="00D81C87" w:rsidRPr="00B978A9" w:rsidRDefault="00D81C87" w:rsidP="00D81C87">
      <w:pPr>
        <w:keepNext/>
        <w:keepLines/>
        <w:numPr>
          <w:ilvl w:val="0"/>
          <w:numId w:val="25"/>
        </w:numPr>
        <w:rPr>
          <w:szCs w:val="20"/>
        </w:rPr>
      </w:pPr>
      <w:r w:rsidRPr="00B978A9">
        <w:rPr>
          <w:szCs w:val="20"/>
        </w:rPr>
        <w:t>Het lijkt erop dat dit voornamelijk jeugdigen zijn die op de titel instellingsvoogdij</w:t>
      </w:r>
      <w:r w:rsidRPr="00B978A9">
        <w:rPr>
          <w:rStyle w:val="Voetnootmarkering"/>
          <w:szCs w:val="20"/>
        </w:rPr>
        <w:footnoteReference w:id="1"/>
      </w:r>
      <w:r w:rsidRPr="00B978A9">
        <w:rPr>
          <w:szCs w:val="20"/>
        </w:rPr>
        <w:t xml:space="preserve"> aan onze gemeenten worden toegeschreven. Sturing vanuit het voorveld is hierop nauwelijks mogelijk. Het budget van gemeenten neemt hier met een vertraging van twee jaar door toe; door deze vertraging komen de meerkosten nu voor rekening van de gemeenten.</w:t>
      </w:r>
    </w:p>
    <w:p w14:paraId="6CF73511" w14:textId="65B488ED" w:rsidR="00D81C87" w:rsidRPr="00B978A9" w:rsidRDefault="00D81C87" w:rsidP="00D81C87">
      <w:pPr>
        <w:numPr>
          <w:ilvl w:val="0"/>
          <w:numId w:val="25"/>
        </w:numPr>
        <w:rPr>
          <w:szCs w:val="20"/>
        </w:rPr>
      </w:pPr>
      <w:r w:rsidRPr="00B978A9">
        <w:rPr>
          <w:szCs w:val="20"/>
        </w:rPr>
        <w:t xml:space="preserve">Verder is er een groei te zien in het </w:t>
      </w:r>
      <w:r>
        <w:rPr>
          <w:szCs w:val="20"/>
        </w:rPr>
        <w:t>aantal jeugdigen in pleegzorg,</w:t>
      </w:r>
      <w:r w:rsidRPr="00B978A9">
        <w:rPr>
          <w:szCs w:val="20"/>
        </w:rPr>
        <w:t xml:space="preserve"> kor</w:t>
      </w:r>
      <w:r>
        <w:rPr>
          <w:szCs w:val="20"/>
        </w:rPr>
        <w:t>tdurend verblijf / logeeropvang en Beschermd Wonen.</w:t>
      </w:r>
    </w:p>
    <w:p w14:paraId="62BBB83F" w14:textId="77777777" w:rsidR="00D81C87" w:rsidRPr="007307BE" w:rsidRDefault="00D81C87" w:rsidP="00D81C87">
      <w:pPr>
        <w:rPr>
          <w:szCs w:val="20"/>
          <w:highlight w:val="yellow"/>
        </w:rPr>
      </w:pPr>
    </w:p>
    <w:p w14:paraId="1623CA70" w14:textId="77777777" w:rsidR="00552E2B" w:rsidRDefault="00552E2B" w:rsidP="00D81C87">
      <w:pPr>
        <w:rPr>
          <w:sz w:val="16"/>
          <w:szCs w:val="16"/>
        </w:rPr>
      </w:pPr>
    </w:p>
    <w:p w14:paraId="7619DA7D" w14:textId="77777777" w:rsidR="00552E2B" w:rsidRDefault="00552E2B" w:rsidP="00D81C87">
      <w:pPr>
        <w:rPr>
          <w:sz w:val="16"/>
          <w:szCs w:val="16"/>
        </w:rPr>
      </w:pPr>
    </w:p>
    <w:p w14:paraId="58DFE944" w14:textId="77777777" w:rsidR="00552E2B" w:rsidRDefault="00552E2B" w:rsidP="00D81C87">
      <w:pPr>
        <w:rPr>
          <w:sz w:val="16"/>
          <w:szCs w:val="16"/>
        </w:rPr>
      </w:pPr>
    </w:p>
    <w:p w14:paraId="2104B949" w14:textId="77777777" w:rsidR="00552E2B" w:rsidRDefault="00552E2B" w:rsidP="00D81C87">
      <w:pPr>
        <w:rPr>
          <w:sz w:val="16"/>
          <w:szCs w:val="16"/>
        </w:rPr>
      </w:pPr>
    </w:p>
    <w:p w14:paraId="4D44E85B" w14:textId="77777777" w:rsidR="00552E2B" w:rsidRDefault="00552E2B" w:rsidP="00D81C87">
      <w:pPr>
        <w:rPr>
          <w:sz w:val="16"/>
          <w:szCs w:val="16"/>
        </w:rPr>
      </w:pPr>
    </w:p>
    <w:p w14:paraId="6792C5CB" w14:textId="77777777" w:rsidR="00552E2B" w:rsidRDefault="00552E2B" w:rsidP="00D81C87">
      <w:pPr>
        <w:rPr>
          <w:sz w:val="16"/>
          <w:szCs w:val="16"/>
        </w:rPr>
      </w:pPr>
    </w:p>
    <w:p w14:paraId="04BAFBAE" w14:textId="77777777" w:rsidR="00552E2B" w:rsidRDefault="00552E2B" w:rsidP="00D81C87">
      <w:pPr>
        <w:rPr>
          <w:sz w:val="16"/>
          <w:szCs w:val="16"/>
        </w:rPr>
      </w:pPr>
    </w:p>
    <w:p w14:paraId="1455EA27" w14:textId="77777777" w:rsidR="00552E2B" w:rsidRDefault="00552E2B" w:rsidP="00D81C87">
      <w:pPr>
        <w:rPr>
          <w:sz w:val="16"/>
          <w:szCs w:val="16"/>
        </w:rPr>
      </w:pPr>
    </w:p>
    <w:p w14:paraId="3F048687" w14:textId="77777777" w:rsidR="00552E2B" w:rsidRDefault="00552E2B" w:rsidP="00D81C87">
      <w:pPr>
        <w:rPr>
          <w:sz w:val="16"/>
          <w:szCs w:val="16"/>
        </w:rPr>
      </w:pPr>
    </w:p>
    <w:p w14:paraId="2BA9B0E7" w14:textId="77777777" w:rsidR="00552E2B" w:rsidRDefault="00552E2B" w:rsidP="00D81C87">
      <w:pPr>
        <w:rPr>
          <w:sz w:val="16"/>
          <w:szCs w:val="16"/>
        </w:rPr>
      </w:pPr>
    </w:p>
    <w:p w14:paraId="27F448D0" w14:textId="77777777" w:rsidR="00552E2B" w:rsidRDefault="00552E2B" w:rsidP="00D81C87">
      <w:pPr>
        <w:rPr>
          <w:sz w:val="16"/>
          <w:szCs w:val="16"/>
        </w:rPr>
      </w:pPr>
    </w:p>
    <w:p w14:paraId="619A248F" w14:textId="77777777" w:rsidR="00552E2B" w:rsidRDefault="00552E2B" w:rsidP="00D81C87">
      <w:pPr>
        <w:rPr>
          <w:sz w:val="16"/>
          <w:szCs w:val="16"/>
        </w:rPr>
      </w:pPr>
    </w:p>
    <w:p w14:paraId="71796959" w14:textId="77777777" w:rsidR="00552E2B" w:rsidRDefault="00552E2B" w:rsidP="00D81C87">
      <w:pPr>
        <w:rPr>
          <w:sz w:val="16"/>
          <w:szCs w:val="16"/>
        </w:rPr>
      </w:pPr>
    </w:p>
    <w:p w14:paraId="59CB6EA5" w14:textId="77777777" w:rsidR="00552E2B" w:rsidRDefault="00552E2B" w:rsidP="00D81C87">
      <w:pPr>
        <w:rPr>
          <w:sz w:val="16"/>
          <w:szCs w:val="16"/>
        </w:rPr>
      </w:pPr>
    </w:p>
    <w:p w14:paraId="6C609EC2" w14:textId="77777777" w:rsidR="00552E2B" w:rsidRDefault="00552E2B" w:rsidP="00D81C87">
      <w:pPr>
        <w:rPr>
          <w:sz w:val="16"/>
          <w:szCs w:val="16"/>
        </w:rPr>
      </w:pPr>
    </w:p>
    <w:p w14:paraId="56983874" w14:textId="655B5CD1" w:rsidR="00D81C87" w:rsidRPr="00B978A9" w:rsidRDefault="00D81C87" w:rsidP="00D81C87">
      <w:pPr>
        <w:rPr>
          <w:sz w:val="16"/>
          <w:szCs w:val="16"/>
        </w:rPr>
      </w:pPr>
      <w:r>
        <w:rPr>
          <w:sz w:val="16"/>
          <w:szCs w:val="16"/>
        </w:rPr>
        <w:lastRenderedPageBreak/>
        <w:t xml:space="preserve">Grafiek </w:t>
      </w:r>
      <w:r w:rsidR="00552E2B">
        <w:rPr>
          <w:sz w:val="16"/>
          <w:szCs w:val="16"/>
        </w:rPr>
        <w:t>4</w:t>
      </w:r>
      <w:r w:rsidRPr="00B978A9">
        <w:rPr>
          <w:sz w:val="16"/>
          <w:szCs w:val="16"/>
        </w:rPr>
        <w:t>: Perceel Verblijf: Het resultaat 2015, budget 2016 en Prognose 2016 (in euro’s)</w:t>
      </w:r>
    </w:p>
    <w:p w14:paraId="28BAA5BD" w14:textId="77777777" w:rsidR="00D81C87" w:rsidRPr="00B978A9" w:rsidRDefault="00D81C87" w:rsidP="00D81C87">
      <w:pPr>
        <w:rPr>
          <w:sz w:val="16"/>
          <w:szCs w:val="16"/>
        </w:rPr>
      </w:pPr>
      <w:r w:rsidRPr="00B978A9">
        <w:rPr>
          <w:sz w:val="16"/>
          <w:szCs w:val="16"/>
        </w:rPr>
        <w:t>(Inclusief 1,57% loon- en prijscompensatie in prognose 2016)</w:t>
      </w:r>
    </w:p>
    <w:p w14:paraId="1B751735" w14:textId="3D503033" w:rsidR="00D81C87" w:rsidRPr="007307BE" w:rsidRDefault="00D81C87" w:rsidP="00D81C87">
      <w:pPr>
        <w:rPr>
          <w:szCs w:val="20"/>
          <w:highlight w:val="yellow"/>
        </w:rPr>
      </w:pPr>
      <w:r w:rsidRPr="00863218">
        <w:rPr>
          <w:noProof/>
          <w:lang w:eastAsia="nl-NL"/>
        </w:rPr>
        <w:drawing>
          <wp:inline distT="0" distB="0" distL="0" distR="0" wp14:anchorId="226EEF2F" wp14:editId="00FB21E6">
            <wp:extent cx="5542280" cy="2745105"/>
            <wp:effectExtent l="0" t="0" r="1270" b="17145"/>
            <wp:docPr id="1" name="Grafie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081408" w14:textId="77777777" w:rsidR="00D81C87" w:rsidRPr="007307BE" w:rsidRDefault="00D81C87" w:rsidP="00D81C87">
      <w:pPr>
        <w:rPr>
          <w:szCs w:val="20"/>
          <w:highlight w:val="yellow"/>
        </w:rPr>
      </w:pPr>
    </w:p>
    <w:p w14:paraId="2EF5778F" w14:textId="77777777" w:rsidR="00D81C87" w:rsidRPr="007307BE" w:rsidRDefault="00D81C87" w:rsidP="00D81C87">
      <w:pPr>
        <w:rPr>
          <w:szCs w:val="20"/>
          <w:highlight w:val="yellow"/>
        </w:rPr>
      </w:pPr>
    </w:p>
    <w:p w14:paraId="19F87E25" w14:textId="77777777" w:rsidR="00D81C87" w:rsidRPr="00B978A9" w:rsidRDefault="00D81C87" w:rsidP="00D81C87">
      <w:pPr>
        <w:keepNext/>
        <w:keepLines/>
        <w:rPr>
          <w:i/>
          <w:szCs w:val="20"/>
        </w:rPr>
      </w:pPr>
      <w:r w:rsidRPr="00B978A9">
        <w:rPr>
          <w:i/>
          <w:szCs w:val="20"/>
        </w:rPr>
        <w:t>Acties Perceel Verblijf</w:t>
      </w:r>
    </w:p>
    <w:p w14:paraId="6D0C1912" w14:textId="686A7BEE" w:rsidR="00D81C87" w:rsidRPr="00B978A9" w:rsidRDefault="00D81C87" w:rsidP="00D81C87">
      <w:pPr>
        <w:keepNext/>
        <w:keepLines/>
        <w:numPr>
          <w:ilvl w:val="0"/>
          <w:numId w:val="19"/>
        </w:numPr>
        <w:rPr>
          <w:szCs w:val="20"/>
        </w:rPr>
      </w:pPr>
      <w:r w:rsidRPr="00B978A9">
        <w:rPr>
          <w:szCs w:val="20"/>
        </w:rPr>
        <w:t xml:space="preserve">De toename van het gebruik van verblijf baart zorgen. Er tekent zich een groei af van die zorg die verband houdt met het woonplaatsbeginsel voor jeugdigen met een voogdijmaatregel. De instroom is beperkt beïnvloedbaar maar wel kunnen we sturen op voldoende compensatie (deze compensatie staat los van het te ontvangen budget op basis van het objectieve verdeelmodel). Met het ministerie van VWS zijn gesprekken gevoerd waarbij wij in beeld brengen of de compensatie vanuit VWS voldoende is om de kosten de dekken. Daarnaast is de aanlevering van aanbieders richting CBS aangepast zodat gemeenten (in de toekomst) waarschijnlijk de juiste vergoeding zullen ontvangen. </w:t>
      </w:r>
    </w:p>
    <w:p w14:paraId="042ABA42" w14:textId="77777777" w:rsidR="00D81C87" w:rsidRPr="00B978A9" w:rsidRDefault="00D81C87" w:rsidP="00D81C87">
      <w:pPr>
        <w:numPr>
          <w:ilvl w:val="0"/>
          <w:numId w:val="19"/>
        </w:numPr>
        <w:rPr>
          <w:szCs w:val="20"/>
        </w:rPr>
      </w:pPr>
      <w:r w:rsidRPr="00B978A9">
        <w:rPr>
          <w:szCs w:val="20"/>
        </w:rPr>
        <w:t xml:space="preserve">We zullen op basis van nader onderzoek moeten bezien wat wel en niet gewenste transformatie is. Zo neemt bijvoorbeeld het deeltijdverblijf (bijv. logeeropvang) toe. De vragen zijn de volgende: </w:t>
      </w:r>
    </w:p>
    <w:p w14:paraId="76382D0C" w14:textId="58B2BB40" w:rsidR="00D81C87" w:rsidRPr="00B978A9" w:rsidRDefault="00D81C87" w:rsidP="00D81C87">
      <w:pPr>
        <w:numPr>
          <w:ilvl w:val="1"/>
          <w:numId w:val="19"/>
        </w:numPr>
      </w:pPr>
      <w:r w:rsidRPr="00B978A9">
        <w:t>Is deeltijdverblijf een substitutie naar een lichter vorm van verblijf</w:t>
      </w:r>
      <w:r w:rsidR="00276E72">
        <w:t>,</w:t>
      </w:r>
      <w:r>
        <w:t xml:space="preserve"> </w:t>
      </w:r>
      <w:r w:rsidRPr="00B978A9">
        <w:t>óf</w:t>
      </w:r>
    </w:p>
    <w:p w14:paraId="6425129A" w14:textId="4A7E87E2" w:rsidR="00D81C87" w:rsidRPr="00B978A9" w:rsidRDefault="00882A0C" w:rsidP="00D81C87">
      <w:pPr>
        <w:numPr>
          <w:ilvl w:val="1"/>
          <w:numId w:val="19"/>
        </w:numPr>
      </w:pPr>
      <w:r>
        <w:t>W</w:t>
      </w:r>
      <w:r w:rsidR="00D81C87" w:rsidRPr="00B978A9">
        <w:t>ordt deeltijdverblijf beschikt samen met ambulante zorg als substituut voor verblijf</w:t>
      </w:r>
      <w:r w:rsidR="00276E72">
        <w:t>, óf</w:t>
      </w:r>
      <w:r w:rsidR="00D81C87" w:rsidRPr="00B978A9">
        <w:t xml:space="preserve"> </w:t>
      </w:r>
    </w:p>
    <w:p w14:paraId="7D4797DA" w14:textId="0CEE6B5A" w:rsidR="00D81C87" w:rsidRPr="00B978A9" w:rsidRDefault="00882A0C" w:rsidP="00D81C87">
      <w:pPr>
        <w:numPr>
          <w:ilvl w:val="1"/>
          <w:numId w:val="19"/>
        </w:numPr>
      </w:pPr>
      <w:r>
        <w:t>Z</w:t>
      </w:r>
      <w:r w:rsidR="00D81C87" w:rsidRPr="00B978A9">
        <w:t>ien we een omzetting van PGB-cliënten naar zorg in natura.</w:t>
      </w:r>
    </w:p>
    <w:p w14:paraId="3E997457" w14:textId="77777777" w:rsidR="00D81C87" w:rsidRPr="007307BE" w:rsidRDefault="00D81C87" w:rsidP="00D81C87">
      <w:pPr>
        <w:rPr>
          <w:szCs w:val="20"/>
          <w:highlight w:val="yellow"/>
        </w:rPr>
      </w:pPr>
    </w:p>
    <w:p w14:paraId="2011080C" w14:textId="77777777" w:rsidR="00D81C87" w:rsidRPr="00D81C87" w:rsidRDefault="00D81C87" w:rsidP="00D81C87">
      <w:r w:rsidRPr="00D81C87">
        <w:rPr>
          <w:b/>
          <w:sz w:val="26"/>
          <w:szCs w:val="20"/>
        </w:rPr>
        <w:br w:type="page"/>
      </w:r>
    </w:p>
    <w:p w14:paraId="2494371D" w14:textId="77777777" w:rsidR="00D81C87" w:rsidRPr="00C42F8C" w:rsidRDefault="00D81C87" w:rsidP="00D81C87">
      <w:pPr>
        <w:tabs>
          <w:tab w:val="left" w:pos="282"/>
        </w:tabs>
        <w:rPr>
          <w:szCs w:val="20"/>
        </w:rPr>
        <w:sectPr w:rsidR="00D81C87" w:rsidRPr="00C42F8C">
          <w:footerReference w:type="default" r:id="rId13"/>
          <w:pgSz w:w="11906" w:h="16838"/>
          <w:pgMar w:top="1077" w:right="1077" w:bottom="1077" w:left="1077" w:header="708" w:footer="709" w:gutter="0"/>
          <w:cols w:space="708"/>
          <w:docGrid w:linePitch="360"/>
        </w:sectPr>
      </w:pPr>
    </w:p>
    <w:p w14:paraId="65130F67" w14:textId="31248904" w:rsidR="00D81C87" w:rsidRPr="000148AB" w:rsidRDefault="00D81C87" w:rsidP="00D81C87">
      <w:pPr>
        <w:rPr>
          <w:b/>
        </w:rPr>
      </w:pPr>
      <w:r w:rsidRPr="000148AB">
        <w:rPr>
          <w:b/>
        </w:rPr>
        <w:lastRenderedPageBreak/>
        <w:t xml:space="preserve">Tabel 1. </w:t>
      </w:r>
      <w:r>
        <w:rPr>
          <w:b/>
        </w:rPr>
        <w:t>Prognose j</w:t>
      </w:r>
      <w:r w:rsidRPr="000148AB">
        <w:rPr>
          <w:b/>
        </w:rPr>
        <w:t>eugdhulp FoodValley 201</w:t>
      </w:r>
      <w:r>
        <w:rPr>
          <w:b/>
        </w:rPr>
        <w:t>6</w:t>
      </w:r>
      <w:r w:rsidRPr="000148AB">
        <w:rPr>
          <w:b/>
        </w:rPr>
        <w:t xml:space="preserve"> per gemeente</w:t>
      </w:r>
      <w:r>
        <w:rPr>
          <w:b/>
        </w:rPr>
        <w:t>,</w:t>
      </w:r>
      <w:r w:rsidRPr="000148AB">
        <w:rPr>
          <w:b/>
        </w:rPr>
        <w:t xml:space="preserve"> op basis van </w:t>
      </w:r>
      <w:r w:rsidR="00522AAD">
        <w:rPr>
          <w:b/>
        </w:rPr>
        <w:t xml:space="preserve">Q1, Q2, Q3 en </w:t>
      </w:r>
      <w:r>
        <w:rPr>
          <w:b/>
        </w:rPr>
        <w:t>Q4</w:t>
      </w:r>
      <w:r w:rsidR="00522AAD">
        <w:rPr>
          <w:b/>
        </w:rPr>
        <w:t xml:space="preserve"> (in euro’s)</w:t>
      </w:r>
    </w:p>
    <w:p w14:paraId="2742C147" w14:textId="77777777" w:rsidR="00D81C87" w:rsidRDefault="00D81C87" w:rsidP="00D81C87">
      <w:pPr>
        <w:rPr>
          <w:sz w:val="10"/>
        </w:rPr>
      </w:pPr>
    </w:p>
    <w:p w14:paraId="0CC3ABC0" w14:textId="0D8EE10B" w:rsidR="00D81C87" w:rsidRPr="007F0687" w:rsidRDefault="00056778" w:rsidP="00D81C87">
      <w:pPr>
        <w:rPr>
          <w:rFonts w:ascii="Calibri" w:hAnsi="Calibri"/>
          <w:b/>
          <w:sz w:val="16"/>
          <w:szCs w:val="16"/>
        </w:rPr>
        <w:sectPr w:rsidR="00D81C87" w:rsidRPr="007F0687" w:rsidSect="002E27F1">
          <w:headerReference w:type="default" r:id="rId14"/>
          <w:footerReference w:type="even" r:id="rId15"/>
          <w:footerReference w:type="default" r:id="rId16"/>
          <w:headerReference w:type="first" r:id="rId17"/>
          <w:footerReference w:type="first" r:id="rId18"/>
          <w:pgSz w:w="16838" w:h="11906" w:orient="landscape"/>
          <w:pgMar w:top="284" w:right="1077" w:bottom="426" w:left="851" w:header="709" w:footer="709" w:gutter="0"/>
          <w:cols w:space="708"/>
          <w:docGrid w:linePitch="360"/>
        </w:sectPr>
      </w:pPr>
      <w:r w:rsidRPr="00056778">
        <w:rPr>
          <w:noProof/>
          <w:lang w:eastAsia="nl-NL"/>
        </w:rPr>
        <w:drawing>
          <wp:inline distT="0" distB="0" distL="0" distR="0" wp14:anchorId="2A1E8C45" wp14:editId="0D6C448F">
            <wp:extent cx="7886700" cy="57340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86700" cy="5734050"/>
                    </a:xfrm>
                    <a:prstGeom prst="rect">
                      <a:avLst/>
                    </a:prstGeom>
                    <a:noFill/>
                    <a:ln>
                      <a:noFill/>
                    </a:ln>
                  </pic:spPr>
                </pic:pic>
              </a:graphicData>
            </a:graphic>
          </wp:inline>
        </w:drawing>
      </w:r>
    </w:p>
    <w:p w14:paraId="49A09F6B" w14:textId="77777777" w:rsidR="00D81C87" w:rsidRPr="00066815" w:rsidRDefault="00D81C87" w:rsidP="00D81C87">
      <w:pPr>
        <w:rPr>
          <w:b/>
        </w:rPr>
      </w:pPr>
      <w:r>
        <w:rPr>
          <w:b/>
        </w:rPr>
        <w:lastRenderedPageBreak/>
        <w:t>BEHEERSING VAN DE UITGAVEN</w:t>
      </w:r>
    </w:p>
    <w:p w14:paraId="3210AE54" w14:textId="77777777" w:rsidR="00D81C87" w:rsidRPr="00592DDB" w:rsidRDefault="00D81C87" w:rsidP="00D81C87"/>
    <w:p w14:paraId="29A99833" w14:textId="3F9CC987" w:rsidR="00D81C87" w:rsidRPr="003F4A41" w:rsidRDefault="00D81C87" w:rsidP="00D81C87">
      <w:pPr>
        <w:rPr>
          <w:b/>
        </w:rPr>
      </w:pPr>
      <w:r w:rsidRPr="00335113">
        <w:rPr>
          <w:b/>
        </w:rPr>
        <w:t xml:space="preserve">Inleiding </w:t>
      </w:r>
    </w:p>
    <w:p w14:paraId="6A40AF79" w14:textId="77777777" w:rsidR="00D81C87" w:rsidRDefault="00D81C87" w:rsidP="00D81C87">
      <w:r>
        <w:t xml:space="preserve">In dit hoofdstuk staan twee aspecten van uitgaven centraal: </w:t>
      </w:r>
    </w:p>
    <w:p w14:paraId="4E9891B8" w14:textId="77777777" w:rsidR="00D81C87" w:rsidRDefault="00D81C87" w:rsidP="00D81C87">
      <w:pPr>
        <w:numPr>
          <w:ilvl w:val="0"/>
          <w:numId w:val="20"/>
        </w:numPr>
      </w:pPr>
      <w:r>
        <w:t>Welke maatregelen zijn ingezet in 2016?</w:t>
      </w:r>
    </w:p>
    <w:p w14:paraId="4E1B14BD" w14:textId="77777777" w:rsidR="00D81C87" w:rsidRDefault="00D81C87" w:rsidP="00D81C87">
      <w:pPr>
        <w:numPr>
          <w:ilvl w:val="0"/>
          <w:numId w:val="20"/>
        </w:numPr>
      </w:pPr>
      <w:r>
        <w:t>Welke maatregelen nemen we specifiek om de transformatie te versnellen, om de overschrijdingen van 2016 en verder te verkleinen?</w:t>
      </w:r>
    </w:p>
    <w:p w14:paraId="7FF768C7" w14:textId="77777777" w:rsidR="00D81C87" w:rsidRDefault="00D81C87" w:rsidP="00D81C87"/>
    <w:p w14:paraId="517B9D7E" w14:textId="77777777" w:rsidR="00D81C87" w:rsidRDefault="00D81C87" w:rsidP="00D81C87">
      <w:r>
        <w:t xml:space="preserve">Met de jeugdhulpplicht hebben de gemeenten een openeinderegeling gekregen. Als vastgesteld wordt dat jeugdhulp noodzakelijk is, is de gemeente verplicht deze te bieden. Om de kosten te kunnen beheersen, is er in grotere contracten een omzetplafond opgenomen. Bij dreigende overschrijding van dit plafond vindt overleg plaats met de hulpaanbieder, de oorzaken worden geanalyseerd en alleen wanneer er geen andere mogelijkheden zijn wordt een beslissing genomen over aanpassing van het contractuele omzetplafond. </w:t>
      </w:r>
    </w:p>
    <w:p w14:paraId="0E55C6B7" w14:textId="77777777" w:rsidR="00D81C87" w:rsidRDefault="00D81C87" w:rsidP="00D81C87"/>
    <w:p w14:paraId="0BB50917" w14:textId="77777777" w:rsidR="00D81C87" w:rsidRDefault="00D81C87" w:rsidP="00D81C87">
      <w:r>
        <w:t>De accounthouder heeft in dit proces een centrale rol. Deze beoordeelt bij voortduring de relatie met de hulpaanbieder op basis van het contract op kostenontwikkeling en de mogelijkheden van kostenbeheersing.</w:t>
      </w:r>
    </w:p>
    <w:p w14:paraId="3B2A6A15" w14:textId="77777777" w:rsidR="00D81C87" w:rsidRDefault="00D81C87" w:rsidP="00D81C87">
      <w:r>
        <w:t xml:space="preserve">Bij dreigende overschrijding zijn er sturingsmogelijkheden, zoals: </w:t>
      </w:r>
    </w:p>
    <w:p w14:paraId="65348058" w14:textId="77777777" w:rsidR="00D81C87" w:rsidRDefault="00D81C87" w:rsidP="00D81C87">
      <w:r>
        <w:t>- sturen op wachtlijsten</w:t>
      </w:r>
    </w:p>
    <w:p w14:paraId="2A2C8C35" w14:textId="77777777" w:rsidR="00D81C87" w:rsidRDefault="00D81C87" w:rsidP="00D81C87">
      <w:r>
        <w:t>- doorverwijzing door de hulpaanbieder naar hulpaanbieders met contractuele ruimte</w:t>
      </w:r>
    </w:p>
    <w:p w14:paraId="0A0B97BC" w14:textId="77777777" w:rsidR="00D81C87" w:rsidRDefault="00D81C87" w:rsidP="00D81C87">
      <w:r>
        <w:t xml:space="preserve">- het zorgen voor aanpassing van de verwijsstromen vanuit de lokale teams </w:t>
      </w:r>
    </w:p>
    <w:p w14:paraId="79C8CFE6" w14:textId="77777777" w:rsidR="00D81C87" w:rsidRDefault="00D81C87" w:rsidP="00D81C87">
      <w:r>
        <w:t xml:space="preserve">- samenspel tussen huisartsen en lokale teams gericht op beïnvloeding van het verwijzingsbeleid. </w:t>
      </w:r>
    </w:p>
    <w:p w14:paraId="27DCAB22" w14:textId="77777777" w:rsidR="00D81C87" w:rsidRDefault="00D81C87" w:rsidP="00D81C87"/>
    <w:p w14:paraId="579E0580" w14:textId="77777777" w:rsidR="00D81C87" w:rsidRPr="00414663" w:rsidRDefault="00D81C87" w:rsidP="00D81C87">
      <w:pPr>
        <w:rPr>
          <w:i/>
        </w:rPr>
      </w:pPr>
      <w:r w:rsidRPr="00414663">
        <w:rPr>
          <w:i/>
        </w:rPr>
        <w:t>Aanpassingen omzetplafond en bevoorschotting</w:t>
      </w:r>
    </w:p>
    <w:p w14:paraId="6445EAA5" w14:textId="77777777" w:rsidR="00D81C87" w:rsidRDefault="00D81C87" w:rsidP="00D81C87">
      <w:r>
        <w:t xml:space="preserve">Met een aantal aanbieders zijn de omzetplafonds verhoogd. Hiervoor heeft het BO toestemming gegeven. </w:t>
      </w:r>
    </w:p>
    <w:p w14:paraId="6947B267" w14:textId="77777777" w:rsidR="00D81C87" w:rsidRDefault="00D81C87" w:rsidP="00D81C87"/>
    <w:p w14:paraId="7E93F9EC" w14:textId="77777777" w:rsidR="00D81C87" w:rsidRPr="00335113" w:rsidRDefault="00D81C87" w:rsidP="00D81C87">
      <w:pPr>
        <w:rPr>
          <w:b/>
        </w:rPr>
      </w:pPr>
      <w:r>
        <w:rPr>
          <w:b/>
        </w:rPr>
        <w:t>Ingezette maatregelen</w:t>
      </w:r>
      <w:r w:rsidRPr="00335113">
        <w:rPr>
          <w:b/>
        </w:rPr>
        <w:t xml:space="preserve"> van 2015 naar 2016</w:t>
      </w:r>
    </w:p>
    <w:p w14:paraId="0DE7D124" w14:textId="77777777" w:rsidR="00D81C87" w:rsidRDefault="00D81C87" w:rsidP="00D81C87">
      <w:pPr>
        <w:numPr>
          <w:ilvl w:val="0"/>
          <w:numId w:val="24"/>
        </w:numPr>
        <w:ind w:left="709"/>
      </w:pPr>
      <w:r>
        <w:t xml:space="preserve">Voor 2016 zijn er via bestuurlijk aanbesteden afspraken gemaakt met de aanbieders. Deze afspraken moeten er voor zorgen dat op regionaal niveau de zorgkosten met ongeveer 8% dalen ten opzichte van de uitgaven 2015. </w:t>
      </w:r>
    </w:p>
    <w:p w14:paraId="64FA12C8" w14:textId="77777777" w:rsidR="006112C0" w:rsidRDefault="006112C0" w:rsidP="00D81C87">
      <w:pPr>
        <w:numPr>
          <w:ilvl w:val="0"/>
          <w:numId w:val="24"/>
        </w:numPr>
        <w:ind w:left="709"/>
      </w:pPr>
      <w:r>
        <w:t>In 2016 valt een deel van de zorg niet meer onder een omzetplafond, waardoor mogelijk een stijging in volume wordt verklaard. Het uitgangspunt in 2016 is hierdoor per gemeente anders.</w:t>
      </w:r>
    </w:p>
    <w:p w14:paraId="220D4DCF" w14:textId="7D04BC1A" w:rsidR="00D81C87" w:rsidRDefault="006112C0" w:rsidP="006112C0">
      <w:pPr>
        <w:numPr>
          <w:ilvl w:val="0"/>
          <w:numId w:val="24"/>
        </w:numPr>
        <w:ind w:left="709"/>
      </w:pPr>
      <w:r>
        <w:t>De je</w:t>
      </w:r>
      <w:r w:rsidRPr="006112C0">
        <w:t>ugdhulpregio FoodValley had in 2016 t.o.v. 2015 de beschikking over 4,8% minder budget. Deze bezuiniging is per gemeente verschillend. Het perspectief moest per gemeente opnieuw worden opgemaakt: gemeenten</w:t>
      </w:r>
      <w:r>
        <w:t xml:space="preserve"> met een negatief saldo (het resultaat in 2015) moeten bij ongewijzigd zorggebruik ook nog een bezuiniging goedmaken.</w:t>
      </w:r>
    </w:p>
    <w:p w14:paraId="736EBF4F" w14:textId="77777777" w:rsidR="00D81C87" w:rsidRDefault="00D81C87" w:rsidP="00D81C87">
      <w:pPr>
        <w:numPr>
          <w:ilvl w:val="0"/>
          <w:numId w:val="24"/>
        </w:numPr>
        <w:ind w:left="709"/>
      </w:pPr>
      <w:r>
        <w:t xml:space="preserve">De gevolgen van het toepassen van het woonplaatsbeginsel en specifiek voor voogdijkinderen blijft een belangrijk punt van zorg. De gemeenten zullen bij een aangevraagde beschikking scherper moeten onderzoeken waar het gezag ligt voor een jeugdige in zorg. Op dit moment worden alle uitvragen naar gemeenten gecompleteerd. Deze uitvraag leidt tot een aanvraag voor compensatie bovenop het toegezegde budget voor voogdijkinderen. </w:t>
      </w:r>
    </w:p>
    <w:p w14:paraId="7AAE33FB" w14:textId="77777777" w:rsidR="00D81C87" w:rsidRDefault="00D81C87" w:rsidP="00D81C87"/>
    <w:p w14:paraId="080D0ECF" w14:textId="77777777" w:rsidR="00D81C87" w:rsidRDefault="00D81C87" w:rsidP="00D81C87"/>
    <w:p w14:paraId="61ABF4F6" w14:textId="7CEC0520" w:rsidR="00D81C87" w:rsidRPr="003F4A41" w:rsidRDefault="00D81C87" w:rsidP="00D81C87">
      <w:pPr>
        <w:rPr>
          <w:b/>
        </w:rPr>
      </w:pPr>
      <w:r>
        <w:rPr>
          <w:b/>
        </w:rPr>
        <w:br w:type="page"/>
      </w:r>
      <w:r>
        <w:rPr>
          <w:b/>
        </w:rPr>
        <w:lastRenderedPageBreak/>
        <w:t xml:space="preserve">Specifieke maatregelen </w:t>
      </w:r>
      <w:r w:rsidRPr="00335113">
        <w:rPr>
          <w:b/>
        </w:rPr>
        <w:t>2016</w:t>
      </w:r>
      <w:r>
        <w:rPr>
          <w:b/>
        </w:rPr>
        <w:t>-2019</w:t>
      </w:r>
    </w:p>
    <w:p w14:paraId="1CE1792E" w14:textId="77777777" w:rsidR="00D81C87" w:rsidRDefault="00D81C87" w:rsidP="00D81C87">
      <w:r>
        <w:t xml:space="preserve">In 2016 zijn maatregelen ingevoerd om tot een beheersing van de uitgaven te komen. Deze maatregelen hebben betrekking op de navolgende </w:t>
      </w:r>
      <w:r w:rsidRPr="00F64178">
        <w:t>jaren 2017 tot en met 2019.</w:t>
      </w:r>
      <w:r>
        <w:t xml:space="preserve"> We willen de maatregelen op de volgende facetten nalopen:</w:t>
      </w:r>
    </w:p>
    <w:p w14:paraId="10F29E33" w14:textId="77777777" w:rsidR="00D81C87" w:rsidRDefault="00D81C87" w:rsidP="00D81C87">
      <w:pPr>
        <w:numPr>
          <w:ilvl w:val="0"/>
          <w:numId w:val="22"/>
        </w:numPr>
      </w:pPr>
      <w:r>
        <w:t>Welk resultaat moet de maatregel opleveren?</w:t>
      </w:r>
    </w:p>
    <w:p w14:paraId="46ABBEC1" w14:textId="77777777" w:rsidR="00D81C87" w:rsidRDefault="00D81C87" w:rsidP="00D81C87">
      <w:pPr>
        <w:numPr>
          <w:ilvl w:val="0"/>
          <w:numId w:val="22"/>
        </w:numPr>
      </w:pPr>
      <w:r>
        <w:t>In welke tijdsperiode moet de maatregel effect sorteren?</w:t>
      </w:r>
    </w:p>
    <w:p w14:paraId="45C1BCBE" w14:textId="77777777" w:rsidR="00D81C87" w:rsidRDefault="00D81C87" w:rsidP="00D81C87">
      <w:pPr>
        <w:numPr>
          <w:ilvl w:val="0"/>
          <w:numId w:val="22"/>
        </w:numPr>
      </w:pPr>
      <w:r>
        <w:t>Hoeveel geld zou de maatregel moeten opleveren?</w:t>
      </w:r>
    </w:p>
    <w:p w14:paraId="34729B91" w14:textId="77777777" w:rsidR="00D81C87" w:rsidRDefault="00D81C87" w:rsidP="00D81C87"/>
    <w:tbl>
      <w:tblPr>
        <w:tblW w:w="10289" w:type="dxa"/>
        <w:tblInd w:w="-438" w:type="dxa"/>
        <w:tblCellMar>
          <w:left w:w="70" w:type="dxa"/>
          <w:right w:w="70" w:type="dxa"/>
        </w:tblCellMar>
        <w:tblLook w:val="04A0" w:firstRow="1" w:lastRow="0" w:firstColumn="1" w:lastColumn="0" w:noHBand="0" w:noVBand="1"/>
      </w:tblPr>
      <w:tblGrid>
        <w:gridCol w:w="4194"/>
        <w:gridCol w:w="4394"/>
        <w:gridCol w:w="1701"/>
      </w:tblGrid>
      <w:tr w:rsidR="00D81C87" w:rsidRPr="00757F2E" w14:paraId="6E4DE7E3" w14:textId="77777777" w:rsidTr="006D0C76">
        <w:trPr>
          <w:trHeight w:val="300"/>
        </w:trPr>
        <w:tc>
          <w:tcPr>
            <w:tcW w:w="4194" w:type="dxa"/>
            <w:tcBorders>
              <w:top w:val="single" w:sz="4" w:space="0" w:color="5B9BD5"/>
              <w:left w:val="single" w:sz="4" w:space="0" w:color="5B9BD5"/>
              <w:bottom w:val="single" w:sz="4" w:space="0" w:color="5B9BD5"/>
              <w:right w:val="single" w:sz="4" w:space="0" w:color="5B9BD5"/>
            </w:tcBorders>
            <w:shd w:val="clear" w:color="5B9BD5" w:fill="5B9BD5"/>
            <w:vAlign w:val="center"/>
            <w:hideMark/>
          </w:tcPr>
          <w:p w14:paraId="2BC6DBA6"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Maatregelen</w:t>
            </w:r>
          </w:p>
        </w:tc>
        <w:tc>
          <w:tcPr>
            <w:tcW w:w="4394" w:type="dxa"/>
            <w:tcBorders>
              <w:top w:val="single" w:sz="4" w:space="0" w:color="5B9BD5"/>
              <w:left w:val="nil"/>
              <w:bottom w:val="single" w:sz="4" w:space="0" w:color="5B9BD5"/>
              <w:right w:val="single" w:sz="4" w:space="0" w:color="5B9BD5"/>
            </w:tcBorders>
            <w:shd w:val="clear" w:color="5B9BD5" w:fill="5B9BD5"/>
            <w:vAlign w:val="center"/>
            <w:hideMark/>
          </w:tcPr>
          <w:p w14:paraId="06E53E35"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Concreet</w:t>
            </w:r>
          </w:p>
        </w:tc>
        <w:tc>
          <w:tcPr>
            <w:tcW w:w="1701" w:type="dxa"/>
            <w:tcBorders>
              <w:top w:val="single" w:sz="4" w:space="0" w:color="5B9BD5"/>
              <w:left w:val="nil"/>
              <w:bottom w:val="single" w:sz="4" w:space="0" w:color="5B9BD5"/>
              <w:right w:val="single" w:sz="4" w:space="0" w:color="5B9BD5"/>
            </w:tcBorders>
            <w:shd w:val="clear" w:color="5B9BD5" w:fill="5B9BD5"/>
            <w:vAlign w:val="center"/>
            <w:hideMark/>
          </w:tcPr>
          <w:p w14:paraId="239034FF"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Effect per jaar</w:t>
            </w:r>
          </w:p>
        </w:tc>
      </w:tr>
      <w:tr w:rsidR="00D81C87" w:rsidRPr="00757F2E" w14:paraId="4A957A17" w14:textId="77777777" w:rsidTr="006D0C76">
        <w:trPr>
          <w:trHeight w:val="300"/>
        </w:trPr>
        <w:tc>
          <w:tcPr>
            <w:tcW w:w="4194" w:type="dxa"/>
            <w:tcBorders>
              <w:top w:val="nil"/>
              <w:left w:val="single" w:sz="4" w:space="0" w:color="5B9BD5"/>
              <w:bottom w:val="single" w:sz="4" w:space="0" w:color="5B9BD5"/>
              <w:right w:val="single" w:sz="4" w:space="0" w:color="5B9BD5"/>
            </w:tcBorders>
            <w:shd w:val="clear" w:color="DDEBF7" w:fill="DDEBF7"/>
            <w:vAlign w:val="center"/>
            <w:hideMark/>
          </w:tcPr>
          <w:p w14:paraId="3DC5D3B8"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1. Dyslexiezorg</w:t>
            </w:r>
          </w:p>
        </w:tc>
        <w:tc>
          <w:tcPr>
            <w:tcW w:w="4394" w:type="dxa"/>
            <w:tcBorders>
              <w:top w:val="nil"/>
              <w:left w:val="nil"/>
              <w:bottom w:val="single" w:sz="4" w:space="0" w:color="5B9BD5"/>
              <w:right w:val="single" w:sz="4" w:space="0" w:color="5B9BD5"/>
            </w:tcBorders>
            <w:shd w:val="clear" w:color="DDEBF7" w:fill="DDEBF7"/>
            <w:vAlign w:val="center"/>
            <w:hideMark/>
          </w:tcPr>
          <w:p w14:paraId="6958152E"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Vermindering instroom en verkorting doorlooptijd</w:t>
            </w:r>
          </w:p>
        </w:tc>
        <w:tc>
          <w:tcPr>
            <w:tcW w:w="1701" w:type="dxa"/>
            <w:tcBorders>
              <w:top w:val="nil"/>
              <w:left w:val="nil"/>
              <w:bottom w:val="single" w:sz="4" w:space="0" w:color="5B9BD5"/>
              <w:right w:val="single" w:sz="4" w:space="0" w:color="5B9BD5"/>
            </w:tcBorders>
            <w:shd w:val="clear" w:color="DDEBF7" w:fill="DDEBF7"/>
            <w:vAlign w:val="center"/>
            <w:hideMark/>
          </w:tcPr>
          <w:p w14:paraId="73316FA8" w14:textId="77777777" w:rsidR="00D81C87" w:rsidRPr="00757F2E" w:rsidRDefault="00D81C87" w:rsidP="006D0C76">
            <w:pPr>
              <w:suppressAutoHyphens w:val="0"/>
              <w:jc w:val="right"/>
              <w:rPr>
                <w:b/>
                <w:bCs/>
                <w:color w:val="000000"/>
                <w:sz w:val="16"/>
                <w:szCs w:val="16"/>
                <w:lang w:eastAsia="nl-NL"/>
              </w:rPr>
            </w:pPr>
            <w:r w:rsidRPr="00757F2E">
              <w:rPr>
                <w:b/>
                <w:bCs/>
                <w:color w:val="000000"/>
                <w:sz w:val="16"/>
                <w:szCs w:val="16"/>
                <w:lang w:eastAsia="nl-NL"/>
              </w:rPr>
              <w:t>-200.000</w:t>
            </w:r>
          </w:p>
        </w:tc>
      </w:tr>
      <w:tr w:rsidR="00D81C87" w:rsidRPr="00757F2E" w14:paraId="544177A0" w14:textId="77777777" w:rsidTr="006D0C76">
        <w:trPr>
          <w:trHeight w:val="300"/>
        </w:trPr>
        <w:tc>
          <w:tcPr>
            <w:tcW w:w="4194" w:type="dxa"/>
            <w:tcBorders>
              <w:top w:val="nil"/>
              <w:left w:val="single" w:sz="4" w:space="0" w:color="5B9BD5"/>
              <w:bottom w:val="single" w:sz="4" w:space="0" w:color="5B9BD5"/>
              <w:right w:val="single" w:sz="4" w:space="0" w:color="5B9BD5"/>
            </w:tcBorders>
            <w:shd w:val="clear" w:color="auto" w:fill="auto"/>
            <w:vAlign w:val="center"/>
            <w:hideMark/>
          </w:tcPr>
          <w:p w14:paraId="63799A26"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2. Vermindering instroom GGZ</w:t>
            </w:r>
          </w:p>
        </w:tc>
        <w:tc>
          <w:tcPr>
            <w:tcW w:w="4394" w:type="dxa"/>
            <w:tcBorders>
              <w:top w:val="nil"/>
              <w:left w:val="nil"/>
              <w:bottom w:val="single" w:sz="4" w:space="0" w:color="5B9BD5"/>
              <w:right w:val="single" w:sz="4" w:space="0" w:color="5B9BD5"/>
            </w:tcBorders>
            <w:shd w:val="clear" w:color="auto" w:fill="auto"/>
            <w:vAlign w:val="center"/>
            <w:hideMark/>
          </w:tcPr>
          <w:p w14:paraId="4B1B7CD2"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SOH invoering, minder instroom GGZ en BGGZ</w:t>
            </w:r>
          </w:p>
        </w:tc>
        <w:tc>
          <w:tcPr>
            <w:tcW w:w="1701" w:type="dxa"/>
            <w:tcBorders>
              <w:top w:val="nil"/>
              <w:left w:val="nil"/>
              <w:bottom w:val="single" w:sz="4" w:space="0" w:color="5B9BD5"/>
              <w:right w:val="single" w:sz="4" w:space="0" w:color="5B9BD5"/>
            </w:tcBorders>
            <w:shd w:val="clear" w:color="auto" w:fill="auto"/>
            <w:vAlign w:val="center"/>
            <w:hideMark/>
          </w:tcPr>
          <w:p w14:paraId="78905608" w14:textId="77777777" w:rsidR="00D81C87" w:rsidRPr="00757F2E" w:rsidRDefault="00D81C87" w:rsidP="006D0C76">
            <w:pPr>
              <w:suppressAutoHyphens w:val="0"/>
              <w:jc w:val="right"/>
              <w:rPr>
                <w:b/>
                <w:bCs/>
                <w:color w:val="000000"/>
                <w:sz w:val="16"/>
                <w:szCs w:val="16"/>
                <w:lang w:eastAsia="nl-NL"/>
              </w:rPr>
            </w:pPr>
            <w:r w:rsidRPr="00757F2E">
              <w:rPr>
                <w:b/>
                <w:bCs/>
                <w:color w:val="000000"/>
                <w:sz w:val="16"/>
                <w:szCs w:val="16"/>
                <w:lang w:eastAsia="nl-NL"/>
              </w:rPr>
              <w:t>-1.100.000</w:t>
            </w:r>
          </w:p>
        </w:tc>
      </w:tr>
      <w:tr w:rsidR="00D81C87" w:rsidRPr="00757F2E" w14:paraId="570B7BCE" w14:textId="77777777" w:rsidTr="006D0C76">
        <w:trPr>
          <w:trHeight w:val="300"/>
        </w:trPr>
        <w:tc>
          <w:tcPr>
            <w:tcW w:w="4194" w:type="dxa"/>
            <w:tcBorders>
              <w:top w:val="nil"/>
              <w:left w:val="single" w:sz="4" w:space="0" w:color="5B9BD5"/>
              <w:bottom w:val="single" w:sz="4" w:space="0" w:color="5B9BD5"/>
              <w:right w:val="single" w:sz="4" w:space="0" w:color="5B9BD5"/>
            </w:tcBorders>
            <w:shd w:val="clear" w:color="DDEBF7" w:fill="DDEBF7"/>
            <w:vAlign w:val="center"/>
            <w:hideMark/>
          </w:tcPr>
          <w:p w14:paraId="6E9725BD"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3. Beddenreductie</w:t>
            </w:r>
          </w:p>
        </w:tc>
        <w:tc>
          <w:tcPr>
            <w:tcW w:w="4394" w:type="dxa"/>
            <w:tcBorders>
              <w:top w:val="nil"/>
              <w:left w:val="nil"/>
              <w:bottom w:val="single" w:sz="4" w:space="0" w:color="5B9BD5"/>
              <w:right w:val="single" w:sz="4" w:space="0" w:color="5B9BD5"/>
            </w:tcBorders>
            <w:shd w:val="clear" w:color="DDEBF7" w:fill="DDEBF7"/>
            <w:vAlign w:val="center"/>
            <w:hideMark/>
          </w:tcPr>
          <w:p w14:paraId="378FC417"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Minder kinderen in verblijf</w:t>
            </w:r>
          </w:p>
        </w:tc>
        <w:tc>
          <w:tcPr>
            <w:tcW w:w="1701" w:type="dxa"/>
            <w:tcBorders>
              <w:top w:val="nil"/>
              <w:left w:val="nil"/>
              <w:bottom w:val="single" w:sz="4" w:space="0" w:color="5B9BD5"/>
              <w:right w:val="single" w:sz="4" w:space="0" w:color="5B9BD5"/>
            </w:tcBorders>
            <w:shd w:val="clear" w:color="DDEBF7" w:fill="DDEBF7"/>
            <w:vAlign w:val="center"/>
            <w:hideMark/>
          </w:tcPr>
          <w:p w14:paraId="216266B9" w14:textId="77777777" w:rsidR="00D81C87" w:rsidRPr="00757F2E" w:rsidRDefault="00D81C87" w:rsidP="006D0C76">
            <w:pPr>
              <w:suppressAutoHyphens w:val="0"/>
              <w:jc w:val="right"/>
              <w:rPr>
                <w:b/>
                <w:bCs/>
                <w:color w:val="000000"/>
                <w:sz w:val="16"/>
                <w:szCs w:val="16"/>
                <w:lang w:eastAsia="nl-NL"/>
              </w:rPr>
            </w:pPr>
            <w:r w:rsidRPr="00757F2E">
              <w:rPr>
                <w:b/>
                <w:bCs/>
                <w:color w:val="000000"/>
                <w:sz w:val="16"/>
                <w:szCs w:val="16"/>
                <w:lang w:eastAsia="nl-NL"/>
              </w:rPr>
              <w:t>-1.170.000</w:t>
            </w:r>
          </w:p>
        </w:tc>
      </w:tr>
      <w:tr w:rsidR="00D81C87" w:rsidRPr="00757F2E" w14:paraId="47DC7F1B" w14:textId="77777777" w:rsidTr="006D0C76">
        <w:trPr>
          <w:trHeight w:val="300"/>
        </w:trPr>
        <w:tc>
          <w:tcPr>
            <w:tcW w:w="4194" w:type="dxa"/>
            <w:tcBorders>
              <w:top w:val="nil"/>
              <w:left w:val="single" w:sz="4" w:space="0" w:color="5B9BD5"/>
              <w:bottom w:val="single" w:sz="4" w:space="0" w:color="5B9BD5"/>
              <w:right w:val="single" w:sz="4" w:space="0" w:color="5B9BD5"/>
            </w:tcBorders>
            <w:shd w:val="clear" w:color="auto" w:fill="auto"/>
            <w:vAlign w:val="center"/>
            <w:hideMark/>
          </w:tcPr>
          <w:p w14:paraId="6E997B4E"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4. Screening aan de voorkant</w:t>
            </w:r>
          </w:p>
        </w:tc>
        <w:tc>
          <w:tcPr>
            <w:tcW w:w="4394" w:type="dxa"/>
            <w:tcBorders>
              <w:top w:val="nil"/>
              <w:left w:val="nil"/>
              <w:bottom w:val="single" w:sz="4" w:space="0" w:color="5B9BD5"/>
              <w:right w:val="single" w:sz="4" w:space="0" w:color="5B9BD5"/>
            </w:tcBorders>
            <w:shd w:val="clear" w:color="auto" w:fill="auto"/>
            <w:vAlign w:val="center"/>
            <w:hideMark/>
          </w:tcPr>
          <w:p w14:paraId="111C47A4"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Vermindering instroom nieuwe cliënten per maand</w:t>
            </w:r>
          </w:p>
        </w:tc>
        <w:tc>
          <w:tcPr>
            <w:tcW w:w="1701" w:type="dxa"/>
            <w:tcBorders>
              <w:top w:val="nil"/>
              <w:left w:val="nil"/>
              <w:bottom w:val="single" w:sz="4" w:space="0" w:color="5B9BD5"/>
              <w:right w:val="single" w:sz="4" w:space="0" w:color="5B9BD5"/>
            </w:tcBorders>
            <w:shd w:val="clear" w:color="auto" w:fill="auto"/>
            <w:vAlign w:val="center"/>
            <w:hideMark/>
          </w:tcPr>
          <w:p w14:paraId="04F50C10" w14:textId="77777777" w:rsidR="00D81C87" w:rsidRPr="00757F2E" w:rsidRDefault="00D81C87" w:rsidP="006D0C76">
            <w:pPr>
              <w:suppressAutoHyphens w:val="0"/>
              <w:jc w:val="right"/>
              <w:rPr>
                <w:b/>
                <w:bCs/>
                <w:color w:val="000000"/>
                <w:sz w:val="16"/>
                <w:szCs w:val="16"/>
                <w:lang w:eastAsia="nl-NL"/>
              </w:rPr>
            </w:pPr>
            <w:r w:rsidRPr="00757F2E">
              <w:rPr>
                <w:b/>
                <w:bCs/>
                <w:color w:val="000000"/>
                <w:sz w:val="16"/>
                <w:szCs w:val="16"/>
                <w:lang w:eastAsia="nl-NL"/>
              </w:rPr>
              <w:t>-600.000</w:t>
            </w:r>
          </w:p>
        </w:tc>
      </w:tr>
      <w:tr w:rsidR="00D81C87" w:rsidRPr="00757F2E" w14:paraId="210F0B74" w14:textId="77777777" w:rsidTr="006D0C76">
        <w:trPr>
          <w:trHeight w:val="300"/>
        </w:trPr>
        <w:tc>
          <w:tcPr>
            <w:tcW w:w="4194" w:type="dxa"/>
            <w:tcBorders>
              <w:top w:val="nil"/>
              <w:left w:val="single" w:sz="4" w:space="0" w:color="5B9BD5"/>
              <w:bottom w:val="single" w:sz="4" w:space="0" w:color="5B9BD5"/>
              <w:right w:val="single" w:sz="4" w:space="0" w:color="5B9BD5"/>
            </w:tcBorders>
            <w:shd w:val="clear" w:color="DDEBF7" w:fill="DDEBF7"/>
            <w:vAlign w:val="center"/>
            <w:hideMark/>
          </w:tcPr>
          <w:p w14:paraId="7104F89C"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5. Ketenoptimalisatie van de keten “jonge kind”</w:t>
            </w:r>
          </w:p>
        </w:tc>
        <w:tc>
          <w:tcPr>
            <w:tcW w:w="4394" w:type="dxa"/>
            <w:tcBorders>
              <w:top w:val="nil"/>
              <w:left w:val="nil"/>
              <w:bottom w:val="single" w:sz="4" w:space="0" w:color="5B9BD5"/>
              <w:right w:val="single" w:sz="4" w:space="0" w:color="5B9BD5"/>
            </w:tcBorders>
            <w:shd w:val="clear" w:color="DDEBF7" w:fill="DDEBF7"/>
            <w:vAlign w:val="center"/>
            <w:hideMark/>
          </w:tcPr>
          <w:p w14:paraId="66C275A6"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Effect op korte termijn is meer kosten</w:t>
            </w:r>
          </w:p>
        </w:tc>
        <w:tc>
          <w:tcPr>
            <w:tcW w:w="1701" w:type="dxa"/>
            <w:tcBorders>
              <w:top w:val="nil"/>
              <w:left w:val="nil"/>
              <w:bottom w:val="single" w:sz="4" w:space="0" w:color="5B9BD5"/>
              <w:right w:val="single" w:sz="4" w:space="0" w:color="5B9BD5"/>
            </w:tcBorders>
            <w:shd w:val="clear" w:color="DDEBF7" w:fill="DDEBF7"/>
            <w:vAlign w:val="center"/>
            <w:hideMark/>
          </w:tcPr>
          <w:p w14:paraId="4D28609B" w14:textId="77777777" w:rsidR="00D81C87" w:rsidRPr="00757F2E" w:rsidRDefault="00D81C87" w:rsidP="006D0C76">
            <w:pPr>
              <w:suppressAutoHyphens w:val="0"/>
              <w:jc w:val="right"/>
              <w:rPr>
                <w:b/>
                <w:bCs/>
                <w:color w:val="000000"/>
                <w:sz w:val="16"/>
                <w:szCs w:val="16"/>
                <w:lang w:eastAsia="nl-NL"/>
              </w:rPr>
            </w:pPr>
            <w:r w:rsidRPr="00757F2E">
              <w:rPr>
                <w:b/>
                <w:bCs/>
                <w:color w:val="000000"/>
                <w:sz w:val="16"/>
                <w:szCs w:val="16"/>
                <w:lang w:eastAsia="nl-NL"/>
              </w:rPr>
              <w:t>120.000</w:t>
            </w:r>
          </w:p>
        </w:tc>
      </w:tr>
      <w:tr w:rsidR="00D81C87" w:rsidRPr="00757F2E" w14:paraId="56EA8F7A" w14:textId="77777777" w:rsidTr="006D0C76">
        <w:trPr>
          <w:trHeight w:val="510"/>
        </w:trPr>
        <w:tc>
          <w:tcPr>
            <w:tcW w:w="4194" w:type="dxa"/>
            <w:tcBorders>
              <w:top w:val="nil"/>
              <w:left w:val="single" w:sz="4" w:space="0" w:color="5B9BD5"/>
              <w:bottom w:val="single" w:sz="4" w:space="0" w:color="5B9BD5"/>
              <w:right w:val="single" w:sz="4" w:space="0" w:color="5B9BD5"/>
            </w:tcBorders>
            <w:shd w:val="clear" w:color="auto" w:fill="auto"/>
            <w:vAlign w:val="center"/>
            <w:hideMark/>
          </w:tcPr>
          <w:p w14:paraId="59371F41"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6 ADHD medicatie begeleiding overhevelen van kinderartsen naar huisartsen</w:t>
            </w:r>
          </w:p>
        </w:tc>
        <w:tc>
          <w:tcPr>
            <w:tcW w:w="4394" w:type="dxa"/>
            <w:tcBorders>
              <w:top w:val="nil"/>
              <w:left w:val="nil"/>
              <w:bottom w:val="single" w:sz="4" w:space="0" w:color="5B9BD5"/>
              <w:right w:val="single" w:sz="4" w:space="0" w:color="5B9BD5"/>
            </w:tcBorders>
            <w:shd w:val="clear" w:color="auto" w:fill="auto"/>
            <w:vAlign w:val="center"/>
            <w:hideMark/>
          </w:tcPr>
          <w:p w14:paraId="32B6F0B5"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Het overhevelen van Kinderarts naar Huisarts</w:t>
            </w:r>
          </w:p>
        </w:tc>
        <w:tc>
          <w:tcPr>
            <w:tcW w:w="1701" w:type="dxa"/>
            <w:tcBorders>
              <w:top w:val="nil"/>
              <w:left w:val="nil"/>
              <w:bottom w:val="single" w:sz="4" w:space="0" w:color="5B9BD5"/>
              <w:right w:val="single" w:sz="4" w:space="0" w:color="5B9BD5"/>
            </w:tcBorders>
            <w:shd w:val="clear" w:color="auto" w:fill="auto"/>
            <w:vAlign w:val="center"/>
            <w:hideMark/>
          </w:tcPr>
          <w:p w14:paraId="2F3D1F67" w14:textId="77777777" w:rsidR="00D81C87" w:rsidRPr="00757F2E" w:rsidRDefault="00D81C87" w:rsidP="006D0C76">
            <w:pPr>
              <w:suppressAutoHyphens w:val="0"/>
              <w:jc w:val="right"/>
              <w:rPr>
                <w:b/>
                <w:bCs/>
                <w:color w:val="000000"/>
                <w:sz w:val="16"/>
                <w:szCs w:val="16"/>
                <w:lang w:eastAsia="nl-NL"/>
              </w:rPr>
            </w:pPr>
            <w:r w:rsidRPr="00757F2E">
              <w:rPr>
                <w:b/>
                <w:bCs/>
                <w:color w:val="000000"/>
                <w:sz w:val="16"/>
                <w:szCs w:val="16"/>
                <w:lang w:eastAsia="nl-NL"/>
              </w:rPr>
              <w:t>-325.000</w:t>
            </w:r>
          </w:p>
        </w:tc>
      </w:tr>
      <w:tr w:rsidR="00D81C87" w:rsidRPr="00757F2E" w14:paraId="6A838B72" w14:textId="77777777" w:rsidTr="006D0C76">
        <w:trPr>
          <w:trHeight w:val="300"/>
        </w:trPr>
        <w:tc>
          <w:tcPr>
            <w:tcW w:w="4194" w:type="dxa"/>
            <w:tcBorders>
              <w:top w:val="nil"/>
              <w:left w:val="single" w:sz="4" w:space="0" w:color="5B9BD5"/>
              <w:bottom w:val="single" w:sz="4" w:space="0" w:color="5B9BD5"/>
              <w:right w:val="single" w:sz="4" w:space="0" w:color="5B9BD5"/>
            </w:tcBorders>
            <w:shd w:val="clear" w:color="DDEBF7" w:fill="DDEBF7"/>
            <w:vAlign w:val="center"/>
            <w:hideMark/>
          </w:tcPr>
          <w:p w14:paraId="7F8F2C15" w14:textId="77777777" w:rsidR="00D81C87" w:rsidRPr="00757F2E" w:rsidRDefault="00D81C87" w:rsidP="006D0C76">
            <w:pPr>
              <w:suppressAutoHyphens w:val="0"/>
              <w:rPr>
                <w:rFonts w:ascii="Calibri" w:hAnsi="Calibri" w:cs="Times New Roman"/>
                <w:color w:val="000000"/>
                <w:sz w:val="16"/>
                <w:szCs w:val="16"/>
                <w:lang w:eastAsia="nl-NL"/>
              </w:rPr>
            </w:pPr>
            <w:r w:rsidRPr="00757F2E">
              <w:rPr>
                <w:b/>
                <w:bCs/>
                <w:color w:val="000000"/>
                <w:sz w:val="16"/>
                <w:szCs w:val="16"/>
                <w:lang w:eastAsia="nl-NL"/>
              </w:rPr>
              <w:t>7 Casusoverleg zware casussen verblijf</w:t>
            </w:r>
          </w:p>
        </w:tc>
        <w:tc>
          <w:tcPr>
            <w:tcW w:w="4394" w:type="dxa"/>
            <w:tcBorders>
              <w:top w:val="nil"/>
              <w:left w:val="nil"/>
              <w:bottom w:val="single" w:sz="4" w:space="0" w:color="5B9BD5"/>
              <w:right w:val="single" w:sz="4" w:space="0" w:color="5B9BD5"/>
            </w:tcBorders>
            <w:shd w:val="clear" w:color="DDEBF7" w:fill="DDEBF7"/>
            <w:vAlign w:val="center"/>
            <w:hideMark/>
          </w:tcPr>
          <w:p w14:paraId="329B2FFE"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 xml:space="preserve">18+ verlengde jeugdhulp </w:t>
            </w:r>
          </w:p>
        </w:tc>
        <w:tc>
          <w:tcPr>
            <w:tcW w:w="1701" w:type="dxa"/>
            <w:tcBorders>
              <w:top w:val="nil"/>
              <w:left w:val="nil"/>
              <w:bottom w:val="single" w:sz="4" w:space="0" w:color="5B9BD5"/>
              <w:right w:val="single" w:sz="4" w:space="0" w:color="5B9BD5"/>
            </w:tcBorders>
            <w:shd w:val="clear" w:color="DDEBF7" w:fill="DDEBF7"/>
            <w:vAlign w:val="center"/>
            <w:hideMark/>
          </w:tcPr>
          <w:p w14:paraId="068D019D" w14:textId="77777777" w:rsidR="00D81C87" w:rsidRPr="00757F2E" w:rsidRDefault="00D81C87" w:rsidP="006D0C76">
            <w:pPr>
              <w:suppressAutoHyphens w:val="0"/>
              <w:jc w:val="right"/>
              <w:rPr>
                <w:b/>
                <w:bCs/>
                <w:color w:val="000000"/>
                <w:sz w:val="16"/>
                <w:szCs w:val="16"/>
                <w:lang w:eastAsia="nl-NL"/>
              </w:rPr>
            </w:pPr>
            <w:r w:rsidRPr="00757F2E">
              <w:rPr>
                <w:b/>
                <w:bCs/>
                <w:color w:val="000000"/>
                <w:sz w:val="16"/>
                <w:szCs w:val="16"/>
                <w:lang w:eastAsia="nl-NL"/>
              </w:rPr>
              <w:t>-630.000</w:t>
            </w:r>
          </w:p>
        </w:tc>
      </w:tr>
      <w:tr w:rsidR="00D81C87" w:rsidRPr="00757F2E" w14:paraId="5671433D" w14:textId="77777777" w:rsidTr="006D0C76">
        <w:trPr>
          <w:trHeight w:val="300"/>
        </w:trPr>
        <w:tc>
          <w:tcPr>
            <w:tcW w:w="4194" w:type="dxa"/>
            <w:tcBorders>
              <w:top w:val="nil"/>
              <w:left w:val="single" w:sz="4" w:space="0" w:color="5B9BD5"/>
              <w:bottom w:val="single" w:sz="4" w:space="0" w:color="5B9BD5"/>
              <w:right w:val="single" w:sz="4" w:space="0" w:color="5B9BD5"/>
            </w:tcBorders>
            <w:shd w:val="clear" w:color="auto" w:fill="auto"/>
            <w:vAlign w:val="center"/>
            <w:hideMark/>
          </w:tcPr>
          <w:p w14:paraId="53898315"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 </w:t>
            </w:r>
          </w:p>
        </w:tc>
        <w:tc>
          <w:tcPr>
            <w:tcW w:w="4394" w:type="dxa"/>
            <w:tcBorders>
              <w:top w:val="nil"/>
              <w:left w:val="nil"/>
              <w:bottom w:val="single" w:sz="4" w:space="0" w:color="5B9BD5"/>
              <w:right w:val="single" w:sz="4" w:space="0" w:color="5B9BD5"/>
            </w:tcBorders>
            <w:shd w:val="clear" w:color="auto" w:fill="auto"/>
            <w:vAlign w:val="center"/>
            <w:hideMark/>
          </w:tcPr>
          <w:p w14:paraId="5D76A155"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Eenmalige screening van zittende 260 cliënten</w:t>
            </w:r>
          </w:p>
        </w:tc>
        <w:tc>
          <w:tcPr>
            <w:tcW w:w="1701" w:type="dxa"/>
            <w:tcBorders>
              <w:top w:val="nil"/>
              <w:left w:val="nil"/>
              <w:bottom w:val="single" w:sz="4" w:space="0" w:color="5B9BD5"/>
              <w:right w:val="single" w:sz="4" w:space="0" w:color="5B9BD5"/>
            </w:tcBorders>
            <w:shd w:val="clear" w:color="auto" w:fill="auto"/>
            <w:vAlign w:val="center"/>
            <w:hideMark/>
          </w:tcPr>
          <w:p w14:paraId="2B181884" w14:textId="77777777" w:rsidR="00D81C87" w:rsidRPr="00757F2E" w:rsidRDefault="00D81C87" w:rsidP="006D0C76">
            <w:pPr>
              <w:suppressAutoHyphens w:val="0"/>
              <w:jc w:val="right"/>
              <w:rPr>
                <w:b/>
                <w:bCs/>
                <w:color w:val="000000"/>
                <w:sz w:val="16"/>
                <w:szCs w:val="16"/>
                <w:lang w:eastAsia="nl-NL"/>
              </w:rPr>
            </w:pPr>
            <w:r w:rsidRPr="00757F2E">
              <w:rPr>
                <w:b/>
                <w:bCs/>
                <w:color w:val="000000"/>
                <w:sz w:val="16"/>
                <w:szCs w:val="16"/>
                <w:lang w:eastAsia="nl-NL"/>
              </w:rPr>
              <w:t>-420.000</w:t>
            </w:r>
          </w:p>
        </w:tc>
      </w:tr>
      <w:tr w:rsidR="00D81C87" w:rsidRPr="00757F2E" w14:paraId="29C2105D" w14:textId="77777777" w:rsidTr="006D0C76">
        <w:trPr>
          <w:trHeight w:val="510"/>
        </w:trPr>
        <w:tc>
          <w:tcPr>
            <w:tcW w:w="4194" w:type="dxa"/>
            <w:tcBorders>
              <w:top w:val="nil"/>
              <w:left w:val="single" w:sz="4" w:space="0" w:color="5B9BD5"/>
              <w:bottom w:val="single" w:sz="4" w:space="0" w:color="5B9BD5"/>
              <w:right w:val="single" w:sz="4" w:space="0" w:color="5B9BD5"/>
            </w:tcBorders>
            <w:shd w:val="clear" w:color="DDEBF7" w:fill="DDEBF7"/>
            <w:vAlign w:val="center"/>
            <w:hideMark/>
          </w:tcPr>
          <w:p w14:paraId="522D5958"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 xml:space="preserve">8. Actieve regie vanuit lokale team </w:t>
            </w:r>
            <w:r>
              <w:rPr>
                <w:b/>
                <w:bCs/>
                <w:color w:val="000000"/>
                <w:sz w:val="16"/>
                <w:szCs w:val="16"/>
                <w:lang w:eastAsia="nl-NL"/>
              </w:rPr>
              <w:t xml:space="preserve">/ CJG </w:t>
            </w:r>
            <w:r w:rsidRPr="00757F2E">
              <w:rPr>
                <w:b/>
                <w:bCs/>
                <w:color w:val="000000"/>
                <w:sz w:val="16"/>
                <w:szCs w:val="16"/>
                <w:lang w:eastAsia="nl-NL"/>
              </w:rPr>
              <w:t xml:space="preserve">jeugdhulp. </w:t>
            </w:r>
          </w:p>
        </w:tc>
        <w:tc>
          <w:tcPr>
            <w:tcW w:w="4394" w:type="dxa"/>
            <w:tcBorders>
              <w:top w:val="nil"/>
              <w:left w:val="nil"/>
              <w:bottom w:val="single" w:sz="4" w:space="0" w:color="5B9BD5"/>
              <w:right w:val="single" w:sz="4" w:space="0" w:color="5B9BD5"/>
            </w:tcBorders>
            <w:shd w:val="clear" w:color="DDEBF7" w:fill="DDEBF7"/>
            <w:vAlign w:val="center"/>
            <w:hideMark/>
          </w:tcPr>
          <w:p w14:paraId="30C96B2C"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Doorlooptijd verkorting</w:t>
            </w:r>
          </w:p>
        </w:tc>
        <w:tc>
          <w:tcPr>
            <w:tcW w:w="1701" w:type="dxa"/>
            <w:tcBorders>
              <w:top w:val="nil"/>
              <w:left w:val="nil"/>
              <w:bottom w:val="single" w:sz="4" w:space="0" w:color="5B9BD5"/>
              <w:right w:val="single" w:sz="4" w:space="0" w:color="5B9BD5"/>
            </w:tcBorders>
            <w:shd w:val="clear" w:color="DDEBF7" w:fill="DDEBF7"/>
            <w:vAlign w:val="center"/>
            <w:hideMark/>
          </w:tcPr>
          <w:p w14:paraId="3A214788" w14:textId="77777777" w:rsidR="00D81C87" w:rsidRPr="00757F2E" w:rsidRDefault="00D81C87" w:rsidP="006D0C76">
            <w:pPr>
              <w:suppressAutoHyphens w:val="0"/>
              <w:jc w:val="right"/>
              <w:rPr>
                <w:b/>
                <w:bCs/>
                <w:color w:val="000000"/>
                <w:sz w:val="16"/>
                <w:szCs w:val="16"/>
                <w:lang w:eastAsia="nl-NL"/>
              </w:rPr>
            </w:pPr>
            <w:r w:rsidRPr="00757F2E">
              <w:rPr>
                <w:b/>
                <w:bCs/>
                <w:color w:val="000000"/>
                <w:sz w:val="16"/>
                <w:szCs w:val="16"/>
                <w:lang w:eastAsia="nl-NL"/>
              </w:rPr>
              <w:t>-200.000</w:t>
            </w:r>
          </w:p>
        </w:tc>
      </w:tr>
      <w:tr w:rsidR="00D81C87" w:rsidRPr="00757F2E" w14:paraId="167053F3" w14:textId="77777777" w:rsidTr="006D0C76">
        <w:trPr>
          <w:trHeight w:val="300"/>
        </w:trPr>
        <w:tc>
          <w:tcPr>
            <w:tcW w:w="4194" w:type="dxa"/>
            <w:tcBorders>
              <w:top w:val="nil"/>
              <w:left w:val="single" w:sz="4" w:space="0" w:color="5B9BD5"/>
              <w:bottom w:val="single" w:sz="4" w:space="0" w:color="5B9BD5"/>
              <w:right w:val="single" w:sz="4" w:space="0" w:color="5B9BD5"/>
            </w:tcBorders>
            <w:shd w:val="clear" w:color="auto" w:fill="auto"/>
            <w:vAlign w:val="center"/>
            <w:hideMark/>
          </w:tcPr>
          <w:p w14:paraId="14FA7F1A"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Totaal</w:t>
            </w:r>
          </w:p>
        </w:tc>
        <w:tc>
          <w:tcPr>
            <w:tcW w:w="4394" w:type="dxa"/>
            <w:tcBorders>
              <w:top w:val="nil"/>
              <w:left w:val="nil"/>
              <w:bottom w:val="single" w:sz="4" w:space="0" w:color="5B9BD5"/>
              <w:right w:val="single" w:sz="4" w:space="0" w:color="5B9BD5"/>
            </w:tcBorders>
            <w:shd w:val="clear" w:color="auto" w:fill="auto"/>
            <w:vAlign w:val="center"/>
            <w:hideMark/>
          </w:tcPr>
          <w:p w14:paraId="68EACE93" w14:textId="77777777" w:rsidR="00D81C87" w:rsidRPr="00757F2E" w:rsidRDefault="00D81C87" w:rsidP="006D0C76">
            <w:pPr>
              <w:suppressAutoHyphens w:val="0"/>
              <w:rPr>
                <w:b/>
                <w:bCs/>
                <w:color w:val="000000"/>
                <w:sz w:val="16"/>
                <w:szCs w:val="16"/>
                <w:lang w:eastAsia="nl-NL"/>
              </w:rPr>
            </w:pPr>
            <w:r w:rsidRPr="00757F2E">
              <w:rPr>
                <w:b/>
                <w:bCs/>
                <w:color w:val="000000"/>
                <w:sz w:val="16"/>
                <w:szCs w:val="16"/>
                <w:lang w:eastAsia="nl-NL"/>
              </w:rPr>
              <w:t> </w:t>
            </w:r>
          </w:p>
        </w:tc>
        <w:tc>
          <w:tcPr>
            <w:tcW w:w="1701" w:type="dxa"/>
            <w:tcBorders>
              <w:top w:val="nil"/>
              <w:left w:val="nil"/>
              <w:bottom w:val="single" w:sz="4" w:space="0" w:color="5B9BD5"/>
              <w:right w:val="single" w:sz="4" w:space="0" w:color="5B9BD5"/>
            </w:tcBorders>
            <w:shd w:val="clear" w:color="auto" w:fill="auto"/>
            <w:vAlign w:val="center"/>
            <w:hideMark/>
          </w:tcPr>
          <w:p w14:paraId="1303DE35" w14:textId="77777777" w:rsidR="00D81C87" w:rsidRPr="00757F2E" w:rsidRDefault="00D81C87" w:rsidP="006D0C76">
            <w:pPr>
              <w:suppressAutoHyphens w:val="0"/>
              <w:jc w:val="right"/>
              <w:rPr>
                <w:b/>
                <w:bCs/>
                <w:color w:val="000000"/>
                <w:sz w:val="16"/>
                <w:szCs w:val="16"/>
                <w:lang w:eastAsia="nl-NL"/>
              </w:rPr>
            </w:pPr>
            <w:r w:rsidRPr="00757F2E">
              <w:rPr>
                <w:b/>
                <w:bCs/>
                <w:color w:val="000000"/>
                <w:sz w:val="16"/>
                <w:szCs w:val="16"/>
                <w:lang w:eastAsia="nl-NL"/>
              </w:rPr>
              <w:t>-4.525.000</w:t>
            </w:r>
          </w:p>
        </w:tc>
      </w:tr>
    </w:tbl>
    <w:p w14:paraId="6E5149B2" w14:textId="77777777" w:rsidR="00D81C87" w:rsidRDefault="00D81C87" w:rsidP="00D81C87"/>
    <w:p w14:paraId="3F852940" w14:textId="77777777" w:rsidR="00D81C87" w:rsidRDefault="00D81C87" w:rsidP="00D81C87"/>
    <w:p w14:paraId="728C5231" w14:textId="77777777" w:rsidR="00D81C87" w:rsidRDefault="00D81C87" w:rsidP="00D81C87">
      <w:r>
        <w:t>Bij dit overzicht zijn een aantal kanttekeningen en opmerkingen te maken:</w:t>
      </w:r>
    </w:p>
    <w:p w14:paraId="0C3A08C1" w14:textId="1E48AF2A" w:rsidR="00D81C87" w:rsidRPr="00335113" w:rsidRDefault="00D81C87" w:rsidP="00D81C87">
      <w:pPr>
        <w:pStyle w:val="Lijstalinea"/>
        <w:numPr>
          <w:ilvl w:val="0"/>
          <w:numId w:val="23"/>
        </w:numPr>
      </w:pPr>
      <w:r w:rsidRPr="00335113">
        <w:t>De maatregelen 1,</w:t>
      </w:r>
      <w:r w:rsidR="00552E2B">
        <w:t xml:space="preserve"> </w:t>
      </w:r>
      <w:r w:rsidRPr="00335113">
        <w:t>2 en 3 speelden ook al in 2016. De confrontat</w:t>
      </w:r>
      <w:r>
        <w:t xml:space="preserve">ie van hetgeen deze maatregelen </w:t>
      </w:r>
      <w:r w:rsidRPr="00335113">
        <w:t xml:space="preserve">hebben opgeleverd en wat was verwacht is gaande. </w:t>
      </w:r>
    </w:p>
    <w:p w14:paraId="296E9DC5" w14:textId="15D46E88" w:rsidR="00D81C87" w:rsidRPr="00335113" w:rsidRDefault="00D81C87" w:rsidP="00D81C87">
      <w:pPr>
        <w:pStyle w:val="Lijstalinea"/>
        <w:numPr>
          <w:ilvl w:val="0"/>
          <w:numId w:val="23"/>
        </w:numPr>
      </w:pPr>
      <w:r w:rsidRPr="00335113">
        <w:t>Bovenstaande maatregelen 4 tot en met 8 vragen veel van lokale teams en ook aanbieders</w:t>
      </w:r>
      <w:r w:rsidR="00E26703">
        <w:t>.</w:t>
      </w:r>
    </w:p>
    <w:p w14:paraId="13A75740" w14:textId="6B09A505" w:rsidR="00D81C87" w:rsidRDefault="00D81C87" w:rsidP="00D81C87">
      <w:pPr>
        <w:pStyle w:val="Lijstalinea"/>
        <w:numPr>
          <w:ilvl w:val="0"/>
          <w:numId w:val="23"/>
        </w:numPr>
      </w:pPr>
      <w:r w:rsidRPr="00335113">
        <w:t xml:space="preserve">De Effecten zijn weergegeven als </w:t>
      </w:r>
      <w:r>
        <w:t xml:space="preserve">eerste indicatie van </w:t>
      </w:r>
      <w:r w:rsidRPr="00335113">
        <w:t>maximale te verwachten effecten.</w:t>
      </w:r>
      <w:r>
        <w:t xml:space="preserve"> </w:t>
      </w:r>
    </w:p>
    <w:p w14:paraId="15CAED12" w14:textId="77777777" w:rsidR="00D81C87" w:rsidRPr="00335113" w:rsidRDefault="00D81C87" w:rsidP="00D81C87">
      <w:pPr>
        <w:pStyle w:val="Lijstalinea"/>
        <w:numPr>
          <w:ilvl w:val="0"/>
          <w:numId w:val="23"/>
        </w:numPr>
      </w:pPr>
      <w:r>
        <w:t xml:space="preserve">De versnellingsmaatregel bij de dyslexiezorg voor 2017-2019 (maatregel 1) heeft vooral betrekking op de doorlooptijd. Door het eerder integreren van </w:t>
      </w:r>
      <w:r w:rsidRPr="00B37094">
        <w:t>langdurige EED trajecten in het onderwijs</w:t>
      </w:r>
      <w:r>
        <w:t xml:space="preserve"> kunnen deze trajecten worden bekort.</w:t>
      </w:r>
    </w:p>
    <w:p w14:paraId="24F59592" w14:textId="77777777" w:rsidR="00D81C87" w:rsidRDefault="00D81C87" w:rsidP="00D81C87"/>
    <w:p w14:paraId="7C77C732" w14:textId="0E79F0E7" w:rsidR="00D81C87" w:rsidRDefault="00D81C87" w:rsidP="00D81C87">
      <w:r>
        <w:t>De monitoring van de maatregelen worden verder uitgewerkt</w:t>
      </w:r>
      <w:r w:rsidR="003B6607">
        <w:t xml:space="preserve"> begin 2017</w:t>
      </w:r>
      <w:r>
        <w:t xml:space="preserve">. </w:t>
      </w:r>
    </w:p>
    <w:p w14:paraId="1A21BC1B" w14:textId="77777777" w:rsidR="00D81C87" w:rsidRPr="009261CA" w:rsidRDefault="00D81C87" w:rsidP="00D81C87">
      <w:pPr>
        <w:rPr>
          <w:b/>
          <w:sz w:val="34"/>
          <w:szCs w:val="34"/>
        </w:rPr>
      </w:pPr>
      <w:r>
        <w:rPr>
          <w:b/>
          <w:sz w:val="34"/>
          <w:szCs w:val="34"/>
        </w:rPr>
        <w:br w:type="page"/>
      </w:r>
      <w:r>
        <w:rPr>
          <w:b/>
          <w:sz w:val="34"/>
          <w:szCs w:val="34"/>
        </w:rPr>
        <w:lastRenderedPageBreak/>
        <w:t>Deel II: Clië</w:t>
      </w:r>
      <w:r w:rsidRPr="009261CA">
        <w:rPr>
          <w:b/>
          <w:sz w:val="34"/>
          <w:szCs w:val="34"/>
        </w:rPr>
        <w:t>nten</w:t>
      </w:r>
      <w:r>
        <w:rPr>
          <w:b/>
          <w:sz w:val="34"/>
          <w:szCs w:val="34"/>
        </w:rPr>
        <w:t xml:space="preserve"> en zorgvormen in 2016</w:t>
      </w:r>
    </w:p>
    <w:p w14:paraId="1B3A23DD" w14:textId="77777777" w:rsidR="00D81C87" w:rsidRDefault="00D81C87" w:rsidP="00D81C87"/>
    <w:p w14:paraId="207E96C6" w14:textId="7D82BC68" w:rsidR="00D81C87" w:rsidRDefault="00D81C87" w:rsidP="00D81C87">
      <w:r>
        <w:t>In</w:t>
      </w:r>
      <w:r w:rsidR="00E8764E">
        <w:t xml:space="preserve"> deel I zijn we ingegaan op het zorggebruik. In</w:t>
      </w:r>
      <w:r>
        <w:t xml:space="preserve"> deze paragraaf bezien we de verandering van de cliënten voor de verschillende percelen. De gelijkblijvende kosten krijgen meer betekenis als deze worden afgezet tegen de trend van het aantal cliënten: </w:t>
      </w:r>
    </w:p>
    <w:p w14:paraId="336AFA54" w14:textId="319915EA" w:rsidR="00D81C87" w:rsidRDefault="00D81C87" w:rsidP="00D81C87">
      <w:pPr>
        <w:numPr>
          <w:ilvl w:val="0"/>
          <w:numId w:val="12"/>
        </w:numPr>
      </w:pPr>
      <w:r>
        <w:t>Als er meer cliënten worden geholpen ligt het voor de hand dat de kosten ook stijgen</w:t>
      </w:r>
      <w:r w:rsidR="00882A0C">
        <w:t>,</w:t>
      </w:r>
      <w:r>
        <w:t xml:space="preserve"> óf</w:t>
      </w:r>
    </w:p>
    <w:p w14:paraId="2A123E89" w14:textId="77777777" w:rsidR="00D81C87" w:rsidRDefault="00D81C87" w:rsidP="00D81C87">
      <w:pPr>
        <w:numPr>
          <w:ilvl w:val="0"/>
          <w:numId w:val="12"/>
        </w:numPr>
      </w:pPr>
      <w:r>
        <w:t>Als er meer cliënten worden geholpen hoeven de kosten niet te stijgen als er tegelijkertijd ook een transformatie naar lichtere vormen van zorg heeft plaatsgevonden.</w:t>
      </w:r>
    </w:p>
    <w:p w14:paraId="18F5D554" w14:textId="77777777" w:rsidR="00D81C87" w:rsidRDefault="00D81C87" w:rsidP="00D81C87"/>
    <w:p w14:paraId="2A05BCE7" w14:textId="77777777" w:rsidR="00D81C87" w:rsidRPr="00DC398F" w:rsidRDefault="00D81C87" w:rsidP="00D81C87">
      <w:pPr>
        <w:rPr>
          <w:i/>
        </w:rPr>
      </w:pPr>
      <w:r>
        <w:rPr>
          <w:i/>
        </w:rPr>
        <w:t>Tabel 2.</w:t>
      </w:r>
      <w:r w:rsidRPr="00DC398F">
        <w:rPr>
          <w:i/>
        </w:rPr>
        <w:t xml:space="preserve"> Het aantal unieke cliënten </w:t>
      </w:r>
      <w:r>
        <w:rPr>
          <w:i/>
        </w:rPr>
        <w:t>met Jeugdhulp</w:t>
      </w:r>
      <w:r w:rsidRPr="00DC398F">
        <w:rPr>
          <w:i/>
        </w:rPr>
        <w:t xml:space="preserve"> in 2015 en 2016 (Bron: Initi8)</w:t>
      </w:r>
    </w:p>
    <w:tbl>
      <w:tblPr>
        <w:tblW w:w="6940" w:type="dxa"/>
        <w:tblInd w:w="75" w:type="dxa"/>
        <w:tblCellMar>
          <w:left w:w="70" w:type="dxa"/>
          <w:right w:w="70" w:type="dxa"/>
        </w:tblCellMar>
        <w:tblLook w:val="04A0" w:firstRow="1" w:lastRow="0" w:firstColumn="1" w:lastColumn="0" w:noHBand="0" w:noVBand="1"/>
      </w:tblPr>
      <w:tblGrid>
        <w:gridCol w:w="1580"/>
        <w:gridCol w:w="2200"/>
        <w:gridCol w:w="2200"/>
        <w:gridCol w:w="960"/>
      </w:tblGrid>
      <w:tr w:rsidR="00D81C87" w:rsidRPr="0008671B" w14:paraId="68940CD2" w14:textId="77777777" w:rsidTr="006D0C76">
        <w:trPr>
          <w:trHeight w:val="300"/>
        </w:trPr>
        <w:tc>
          <w:tcPr>
            <w:tcW w:w="1580" w:type="dxa"/>
            <w:tcBorders>
              <w:top w:val="single" w:sz="4" w:space="0" w:color="9BC2E6"/>
              <w:left w:val="single" w:sz="4" w:space="0" w:color="9BC2E6"/>
              <w:bottom w:val="single" w:sz="4" w:space="0" w:color="9BC2E6"/>
              <w:right w:val="nil"/>
            </w:tcBorders>
            <w:shd w:val="clear" w:color="5B9BD5" w:fill="5B9BD5"/>
            <w:noWrap/>
            <w:vAlign w:val="bottom"/>
            <w:hideMark/>
          </w:tcPr>
          <w:p w14:paraId="392CA50A" w14:textId="77777777" w:rsidR="00D81C87" w:rsidRPr="0008671B" w:rsidRDefault="00D81C87" w:rsidP="006D0C76">
            <w:pPr>
              <w:suppressAutoHyphens w:val="0"/>
              <w:rPr>
                <w:rFonts w:ascii="Calibri" w:hAnsi="Calibri" w:cs="Times New Roman"/>
                <w:b/>
                <w:bCs/>
                <w:color w:val="FFFFFF"/>
                <w:sz w:val="22"/>
                <w:szCs w:val="22"/>
                <w:lang w:eastAsia="nl-NL"/>
              </w:rPr>
            </w:pPr>
            <w:r w:rsidRPr="0008671B">
              <w:rPr>
                <w:rFonts w:ascii="Calibri" w:hAnsi="Calibri" w:cs="Times New Roman"/>
                <w:b/>
                <w:bCs/>
                <w:color w:val="FFFFFF"/>
                <w:sz w:val="22"/>
                <w:szCs w:val="22"/>
                <w:lang w:eastAsia="nl-NL"/>
              </w:rPr>
              <w:t>Perceel</w:t>
            </w:r>
          </w:p>
        </w:tc>
        <w:tc>
          <w:tcPr>
            <w:tcW w:w="2200" w:type="dxa"/>
            <w:tcBorders>
              <w:top w:val="single" w:sz="4" w:space="0" w:color="9BC2E6"/>
              <w:left w:val="nil"/>
              <w:bottom w:val="single" w:sz="4" w:space="0" w:color="9BC2E6"/>
              <w:right w:val="nil"/>
            </w:tcBorders>
            <w:shd w:val="clear" w:color="5B9BD5" w:fill="5B9BD5"/>
            <w:noWrap/>
            <w:vAlign w:val="bottom"/>
            <w:hideMark/>
          </w:tcPr>
          <w:p w14:paraId="00C4302D" w14:textId="77777777" w:rsidR="00D81C87" w:rsidRDefault="00D81C87" w:rsidP="006D0C76">
            <w:pPr>
              <w:suppressAutoHyphens w:val="0"/>
              <w:jc w:val="right"/>
              <w:rPr>
                <w:rFonts w:ascii="Calibri" w:hAnsi="Calibri" w:cs="Times New Roman"/>
                <w:b/>
                <w:bCs/>
                <w:color w:val="FFFFFF"/>
                <w:sz w:val="22"/>
                <w:szCs w:val="22"/>
                <w:lang w:eastAsia="nl-NL"/>
              </w:rPr>
            </w:pPr>
            <w:r w:rsidRPr="0008671B">
              <w:rPr>
                <w:rFonts w:ascii="Calibri" w:hAnsi="Calibri" w:cs="Times New Roman"/>
                <w:b/>
                <w:bCs/>
                <w:color w:val="FFFFFF"/>
                <w:sz w:val="22"/>
                <w:szCs w:val="22"/>
                <w:lang w:eastAsia="nl-NL"/>
              </w:rPr>
              <w:t xml:space="preserve">Aantal </w:t>
            </w:r>
            <w:r>
              <w:rPr>
                <w:rFonts w:ascii="Calibri" w:hAnsi="Calibri" w:cs="Times New Roman"/>
                <w:b/>
                <w:bCs/>
                <w:color w:val="FFFFFF"/>
                <w:sz w:val="22"/>
                <w:szCs w:val="22"/>
                <w:lang w:eastAsia="nl-NL"/>
              </w:rPr>
              <w:t>unieke</w:t>
            </w:r>
          </w:p>
          <w:p w14:paraId="0178E307" w14:textId="77777777" w:rsidR="00D81C87" w:rsidRPr="0008671B" w:rsidRDefault="00D81C87" w:rsidP="006D0C76">
            <w:pPr>
              <w:suppressAutoHyphens w:val="0"/>
              <w:jc w:val="right"/>
              <w:rPr>
                <w:rFonts w:ascii="Calibri" w:hAnsi="Calibri" w:cs="Times New Roman"/>
                <w:b/>
                <w:bCs/>
                <w:color w:val="FFFFFF"/>
                <w:sz w:val="22"/>
                <w:szCs w:val="22"/>
                <w:lang w:eastAsia="nl-NL"/>
              </w:rPr>
            </w:pPr>
            <w:r w:rsidRPr="0008671B">
              <w:rPr>
                <w:rFonts w:ascii="Calibri" w:hAnsi="Calibri" w:cs="Times New Roman"/>
                <w:b/>
                <w:bCs/>
                <w:color w:val="FFFFFF"/>
                <w:sz w:val="22"/>
                <w:szCs w:val="22"/>
                <w:lang w:eastAsia="nl-NL"/>
              </w:rPr>
              <w:t>cliënten 2015</w:t>
            </w:r>
          </w:p>
        </w:tc>
        <w:tc>
          <w:tcPr>
            <w:tcW w:w="2200" w:type="dxa"/>
            <w:tcBorders>
              <w:top w:val="single" w:sz="4" w:space="0" w:color="9BC2E6"/>
              <w:left w:val="nil"/>
              <w:bottom w:val="single" w:sz="4" w:space="0" w:color="9BC2E6"/>
              <w:right w:val="nil"/>
            </w:tcBorders>
            <w:shd w:val="clear" w:color="5B9BD5" w:fill="5B9BD5"/>
            <w:noWrap/>
            <w:vAlign w:val="bottom"/>
            <w:hideMark/>
          </w:tcPr>
          <w:p w14:paraId="15AA2B42" w14:textId="77777777" w:rsidR="00D81C87" w:rsidRDefault="00D81C87" w:rsidP="006D0C76">
            <w:pPr>
              <w:suppressAutoHyphens w:val="0"/>
              <w:jc w:val="right"/>
              <w:rPr>
                <w:rFonts w:ascii="Calibri" w:hAnsi="Calibri" w:cs="Times New Roman"/>
                <w:b/>
                <w:bCs/>
                <w:color w:val="FFFFFF"/>
                <w:sz w:val="22"/>
                <w:szCs w:val="22"/>
                <w:lang w:eastAsia="nl-NL"/>
              </w:rPr>
            </w:pPr>
            <w:r w:rsidRPr="0008671B">
              <w:rPr>
                <w:rFonts w:ascii="Calibri" w:hAnsi="Calibri" w:cs="Times New Roman"/>
                <w:b/>
                <w:bCs/>
                <w:color w:val="FFFFFF"/>
                <w:sz w:val="22"/>
                <w:szCs w:val="22"/>
                <w:lang w:eastAsia="nl-NL"/>
              </w:rPr>
              <w:t xml:space="preserve">Aantal </w:t>
            </w:r>
            <w:r>
              <w:rPr>
                <w:rFonts w:ascii="Calibri" w:hAnsi="Calibri" w:cs="Times New Roman"/>
                <w:b/>
                <w:bCs/>
                <w:color w:val="FFFFFF"/>
                <w:sz w:val="22"/>
                <w:szCs w:val="22"/>
                <w:lang w:eastAsia="nl-NL"/>
              </w:rPr>
              <w:t xml:space="preserve">unieke </w:t>
            </w:r>
          </w:p>
          <w:p w14:paraId="3C4A4C4B" w14:textId="77777777" w:rsidR="00D81C87" w:rsidRPr="0008671B" w:rsidRDefault="00D81C87" w:rsidP="006D0C76">
            <w:pPr>
              <w:suppressAutoHyphens w:val="0"/>
              <w:jc w:val="right"/>
              <w:rPr>
                <w:rFonts w:ascii="Calibri" w:hAnsi="Calibri" w:cs="Times New Roman"/>
                <w:b/>
                <w:bCs/>
                <w:color w:val="FFFFFF"/>
                <w:sz w:val="22"/>
                <w:szCs w:val="22"/>
                <w:lang w:eastAsia="nl-NL"/>
              </w:rPr>
            </w:pPr>
            <w:r w:rsidRPr="0008671B">
              <w:rPr>
                <w:rFonts w:ascii="Calibri" w:hAnsi="Calibri" w:cs="Times New Roman"/>
                <w:b/>
                <w:bCs/>
                <w:color w:val="FFFFFF"/>
                <w:sz w:val="22"/>
                <w:szCs w:val="22"/>
                <w:lang w:eastAsia="nl-NL"/>
              </w:rPr>
              <w:t>cliënten 2016</w:t>
            </w:r>
          </w:p>
        </w:tc>
        <w:tc>
          <w:tcPr>
            <w:tcW w:w="960" w:type="dxa"/>
            <w:tcBorders>
              <w:top w:val="single" w:sz="4" w:space="0" w:color="9BC2E6"/>
              <w:left w:val="nil"/>
              <w:bottom w:val="single" w:sz="4" w:space="0" w:color="9BC2E6"/>
              <w:right w:val="single" w:sz="4" w:space="0" w:color="9BC2E6"/>
            </w:tcBorders>
            <w:shd w:val="clear" w:color="5B9BD5" w:fill="5B9BD5"/>
            <w:noWrap/>
            <w:vAlign w:val="bottom"/>
            <w:hideMark/>
          </w:tcPr>
          <w:p w14:paraId="095DA51D" w14:textId="77777777" w:rsidR="00D81C87" w:rsidRPr="0008671B" w:rsidRDefault="00D81C87" w:rsidP="006D0C76">
            <w:pPr>
              <w:suppressAutoHyphens w:val="0"/>
              <w:jc w:val="right"/>
              <w:rPr>
                <w:rFonts w:ascii="Calibri" w:hAnsi="Calibri" w:cs="Times New Roman"/>
                <w:b/>
                <w:bCs/>
                <w:color w:val="FFFFFF"/>
                <w:sz w:val="22"/>
                <w:szCs w:val="22"/>
                <w:lang w:eastAsia="nl-NL"/>
              </w:rPr>
            </w:pPr>
            <w:r w:rsidRPr="0008671B">
              <w:rPr>
                <w:rFonts w:ascii="Calibri" w:hAnsi="Calibri" w:cs="Times New Roman"/>
                <w:b/>
                <w:bCs/>
                <w:color w:val="FFFFFF"/>
                <w:sz w:val="22"/>
                <w:szCs w:val="22"/>
                <w:lang w:eastAsia="nl-NL"/>
              </w:rPr>
              <w:t>Groei</w:t>
            </w:r>
          </w:p>
        </w:tc>
      </w:tr>
      <w:tr w:rsidR="00D81C87" w:rsidRPr="0008671B" w14:paraId="438169E9" w14:textId="77777777" w:rsidTr="006D0C76">
        <w:trPr>
          <w:trHeight w:val="300"/>
        </w:trPr>
        <w:tc>
          <w:tcPr>
            <w:tcW w:w="1580" w:type="dxa"/>
            <w:tcBorders>
              <w:top w:val="single" w:sz="4" w:space="0" w:color="9BC2E6"/>
              <w:left w:val="single" w:sz="4" w:space="0" w:color="9BC2E6"/>
              <w:bottom w:val="single" w:sz="4" w:space="0" w:color="9BC2E6"/>
              <w:right w:val="nil"/>
            </w:tcBorders>
            <w:shd w:val="clear" w:color="DDEBF7" w:fill="DDEBF7"/>
            <w:noWrap/>
            <w:vAlign w:val="bottom"/>
            <w:hideMark/>
          </w:tcPr>
          <w:p w14:paraId="12BCB27A" w14:textId="77777777" w:rsidR="00D81C87" w:rsidRPr="0008671B" w:rsidRDefault="00D81C87" w:rsidP="006D0C76">
            <w:pPr>
              <w:suppressAutoHyphens w:val="0"/>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Ambulant</w:t>
            </w:r>
          </w:p>
        </w:tc>
        <w:tc>
          <w:tcPr>
            <w:tcW w:w="2200" w:type="dxa"/>
            <w:tcBorders>
              <w:top w:val="single" w:sz="4" w:space="0" w:color="9BC2E6"/>
              <w:left w:val="nil"/>
              <w:bottom w:val="single" w:sz="4" w:space="0" w:color="9BC2E6"/>
              <w:right w:val="nil"/>
            </w:tcBorders>
            <w:shd w:val="clear" w:color="DDEBF7" w:fill="DDEBF7"/>
            <w:noWrap/>
            <w:vAlign w:val="bottom"/>
            <w:hideMark/>
          </w:tcPr>
          <w:p w14:paraId="6C17B228"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5</w:t>
            </w:r>
            <w:r>
              <w:rPr>
                <w:rFonts w:ascii="Calibri" w:hAnsi="Calibri" w:cs="Times New Roman"/>
                <w:color w:val="000000"/>
                <w:sz w:val="22"/>
                <w:szCs w:val="22"/>
                <w:lang w:eastAsia="nl-NL"/>
              </w:rPr>
              <w:t>.</w:t>
            </w:r>
            <w:r w:rsidRPr="0008671B">
              <w:rPr>
                <w:rFonts w:ascii="Calibri" w:hAnsi="Calibri" w:cs="Times New Roman"/>
                <w:color w:val="000000"/>
                <w:sz w:val="22"/>
                <w:szCs w:val="22"/>
                <w:lang w:eastAsia="nl-NL"/>
              </w:rPr>
              <w:t>334</w:t>
            </w:r>
          </w:p>
        </w:tc>
        <w:tc>
          <w:tcPr>
            <w:tcW w:w="2200" w:type="dxa"/>
            <w:tcBorders>
              <w:top w:val="single" w:sz="4" w:space="0" w:color="9BC2E6"/>
              <w:left w:val="nil"/>
              <w:bottom w:val="single" w:sz="4" w:space="0" w:color="9BC2E6"/>
              <w:right w:val="nil"/>
            </w:tcBorders>
            <w:shd w:val="clear" w:color="DDEBF7" w:fill="DDEBF7"/>
            <w:noWrap/>
            <w:vAlign w:val="bottom"/>
            <w:hideMark/>
          </w:tcPr>
          <w:p w14:paraId="641A9F71"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5</w:t>
            </w:r>
            <w:r>
              <w:rPr>
                <w:rFonts w:ascii="Calibri" w:hAnsi="Calibri" w:cs="Times New Roman"/>
                <w:color w:val="000000"/>
                <w:sz w:val="22"/>
                <w:szCs w:val="22"/>
                <w:lang w:eastAsia="nl-NL"/>
              </w:rPr>
              <w:t>.</w:t>
            </w:r>
            <w:r w:rsidRPr="0008671B">
              <w:rPr>
                <w:rFonts w:ascii="Calibri" w:hAnsi="Calibri" w:cs="Times New Roman"/>
                <w:color w:val="000000"/>
                <w:sz w:val="22"/>
                <w:szCs w:val="22"/>
                <w:lang w:eastAsia="nl-NL"/>
              </w:rPr>
              <w:t>733</w:t>
            </w:r>
          </w:p>
        </w:tc>
        <w:tc>
          <w:tcPr>
            <w:tcW w:w="960" w:type="dxa"/>
            <w:tcBorders>
              <w:top w:val="single" w:sz="4" w:space="0" w:color="9BC2E6"/>
              <w:left w:val="nil"/>
              <w:bottom w:val="single" w:sz="4" w:space="0" w:color="9BC2E6"/>
              <w:right w:val="single" w:sz="4" w:space="0" w:color="9BC2E6"/>
            </w:tcBorders>
            <w:shd w:val="clear" w:color="DDEBF7" w:fill="DDEBF7"/>
            <w:noWrap/>
            <w:vAlign w:val="bottom"/>
            <w:hideMark/>
          </w:tcPr>
          <w:p w14:paraId="6C639614"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7,5%</w:t>
            </w:r>
          </w:p>
        </w:tc>
      </w:tr>
      <w:tr w:rsidR="00D81C87" w:rsidRPr="0008671B" w14:paraId="70F39520" w14:textId="77777777" w:rsidTr="006D0C76">
        <w:trPr>
          <w:trHeight w:val="300"/>
        </w:trPr>
        <w:tc>
          <w:tcPr>
            <w:tcW w:w="1580" w:type="dxa"/>
            <w:tcBorders>
              <w:top w:val="single" w:sz="4" w:space="0" w:color="9BC2E6"/>
              <w:left w:val="single" w:sz="4" w:space="0" w:color="9BC2E6"/>
              <w:bottom w:val="single" w:sz="4" w:space="0" w:color="9BC2E6"/>
              <w:right w:val="nil"/>
            </w:tcBorders>
            <w:shd w:val="clear" w:color="auto" w:fill="auto"/>
            <w:noWrap/>
            <w:vAlign w:val="bottom"/>
            <w:hideMark/>
          </w:tcPr>
          <w:p w14:paraId="56C8F82B" w14:textId="77777777" w:rsidR="00D81C87" w:rsidRPr="0008671B" w:rsidRDefault="00D81C87" w:rsidP="006D0C76">
            <w:pPr>
              <w:suppressAutoHyphens w:val="0"/>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Verblijf</w:t>
            </w:r>
          </w:p>
        </w:tc>
        <w:tc>
          <w:tcPr>
            <w:tcW w:w="2200" w:type="dxa"/>
            <w:tcBorders>
              <w:top w:val="single" w:sz="4" w:space="0" w:color="9BC2E6"/>
              <w:left w:val="nil"/>
              <w:bottom w:val="single" w:sz="4" w:space="0" w:color="9BC2E6"/>
              <w:right w:val="nil"/>
            </w:tcBorders>
            <w:shd w:val="clear" w:color="auto" w:fill="auto"/>
            <w:noWrap/>
            <w:vAlign w:val="bottom"/>
            <w:hideMark/>
          </w:tcPr>
          <w:p w14:paraId="76E5725E"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684</w:t>
            </w:r>
          </w:p>
        </w:tc>
        <w:tc>
          <w:tcPr>
            <w:tcW w:w="2200" w:type="dxa"/>
            <w:tcBorders>
              <w:top w:val="single" w:sz="4" w:space="0" w:color="9BC2E6"/>
              <w:left w:val="nil"/>
              <w:bottom w:val="single" w:sz="4" w:space="0" w:color="9BC2E6"/>
              <w:right w:val="nil"/>
            </w:tcBorders>
            <w:shd w:val="clear" w:color="auto" w:fill="auto"/>
            <w:noWrap/>
            <w:vAlign w:val="bottom"/>
            <w:hideMark/>
          </w:tcPr>
          <w:p w14:paraId="5B617DCD"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760</w:t>
            </w:r>
          </w:p>
        </w:tc>
        <w:tc>
          <w:tcPr>
            <w:tcW w:w="960" w:type="dxa"/>
            <w:tcBorders>
              <w:top w:val="single" w:sz="4" w:space="0" w:color="9BC2E6"/>
              <w:left w:val="nil"/>
              <w:bottom w:val="single" w:sz="4" w:space="0" w:color="9BC2E6"/>
              <w:right w:val="single" w:sz="4" w:space="0" w:color="9BC2E6"/>
            </w:tcBorders>
            <w:shd w:val="clear" w:color="auto" w:fill="auto"/>
            <w:noWrap/>
            <w:vAlign w:val="bottom"/>
            <w:hideMark/>
          </w:tcPr>
          <w:p w14:paraId="462412D7"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11,1%</w:t>
            </w:r>
          </w:p>
        </w:tc>
      </w:tr>
      <w:tr w:rsidR="00D81C87" w:rsidRPr="0008671B" w14:paraId="0CD793C4" w14:textId="77777777" w:rsidTr="006D0C76">
        <w:trPr>
          <w:trHeight w:val="300"/>
        </w:trPr>
        <w:tc>
          <w:tcPr>
            <w:tcW w:w="1580" w:type="dxa"/>
            <w:tcBorders>
              <w:top w:val="single" w:sz="4" w:space="0" w:color="9BC2E6"/>
              <w:left w:val="single" w:sz="4" w:space="0" w:color="9BC2E6"/>
              <w:bottom w:val="single" w:sz="4" w:space="0" w:color="9BC2E6"/>
              <w:right w:val="nil"/>
            </w:tcBorders>
            <w:shd w:val="clear" w:color="DDEBF7" w:fill="DDEBF7"/>
            <w:noWrap/>
            <w:vAlign w:val="bottom"/>
            <w:hideMark/>
          </w:tcPr>
          <w:p w14:paraId="4BACD05B" w14:textId="77777777" w:rsidR="00D81C87" w:rsidRPr="0008671B" w:rsidRDefault="00D81C87" w:rsidP="006D0C76">
            <w:pPr>
              <w:suppressAutoHyphens w:val="0"/>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Veiligheid</w:t>
            </w:r>
          </w:p>
        </w:tc>
        <w:tc>
          <w:tcPr>
            <w:tcW w:w="2200" w:type="dxa"/>
            <w:tcBorders>
              <w:top w:val="single" w:sz="4" w:space="0" w:color="9BC2E6"/>
              <w:left w:val="nil"/>
              <w:bottom w:val="single" w:sz="4" w:space="0" w:color="9BC2E6"/>
              <w:right w:val="nil"/>
            </w:tcBorders>
            <w:shd w:val="clear" w:color="DDEBF7" w:fill="DDEBF7"/>
            <w:noWrap/>
            <w:vAlign w:val="bottom"/>
            <w:hideMark/>
          </w:tcPr>
          <w:p w14:paraId="3FC203E8"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797</w:t>
            </w:r>
          </w:p>
        </w:tc>
        <w:tc>
          <w:tcPr>
            <w:tcW w:w="2200" w:type="dxa"/>
            <w:tcBorders>
              <w:top w:val="single" w:sz="4" w:space="0" w:color="9BC2E6"/>
              <w:left w:val="nil"/>
              <w:bottom w:val="single" w:sz="4" w:space="0" w:color="9BC2E6"/>
              <w:right w:val="nil"/>
            </w:tcBorders>
            <w:shd w:val="clear" w:color="DDEBF7" w:fill="DDEBF7"/>
            <w:noWrap/>
            <w:vAlign w:val="bottom"/>
            <w:hideMark/>
          </w:tcPr>
          <w:p w14:paraId="111CB4C0"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730</w:t>
            </w:r>
          </w:p>
        </w:tc>
        <w:tc>
          <w:tcPr>
            <w:tcW w:w="960" w:type="dxa"/>
            <w:tcBorders>
              <w:top w:val="single" w:sz="4" w:space="0" w:color="9BC2E6"/>
              <w:left w:val="nil"/>
              <w:bottom w:val="single" w:sz="4" w:space="0" w:color="9BC2E6"/>
              <w:right w:val="single" w:sz="4" w:space="0" w:color="9BC2E6"/>
            </w:tcBorders>
            <w:shd w:val="clear" w:color="DDEBF7" w:fill="DDEBF7"/>
            <w:noWrap/>
            <w:vAlign w:val="bottom"/>
            <w:hideMark/>
          </w:tcPr>
          <w:p w14:paraId="154ED895"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-8,4%</w:t>
            </w:r>
          </w:p>
        </w:tc>
      </w:tr>
      <w:tr w:rsidR="00D81C87" w:rsidRPr="0008671B" w14:paraId="2C613956" w14:textId="77777777" w:rsidTr="006D0C76">
        <w:trPr>
          <w:trHeight w:val="300"/>
        </w:trPr>
        <w:tc>
          <w:tcPr>
            <w:tcW w:w="1580" w:type="dxa"/>
            <w:tcBorders>
              <w:top w:val="single" w:sz="4" w:space="0" w:color="9BC2E6"/>
              <w:left w:val="single" w:sz="4" w:space="0" w:color="9BC2E6"/>
              <w:bottom w:val="single" w:sz="4" w:space="0" w:color="9BC2E6"/>
              <w:right w:val="nil"/>
            </w:tcBorders>
            <w:shd w:val="clear" w:color="auto" w:fill="auto"/>
            <w:noWrap/>
            <w:vAlign w:val="bottom"/>
            <w:hideMark/>
          </w:tcPr>
          <w:p w14:paraId="454C6C31" w14:textId="77777777" w:rsidR="00D81C87" w:rsidRPr="0008671B" w:rsidRDefault="00D81C87" w:rsidP="006D0C76">
            <w:pPr>
              <w:suppressAutoHyphens w:val="0"/>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Bovenregionaal</w:t>
            </w:r>
          </w:p>
        </w:tc>
        <w:tc>
          <w:tcPr>
            <w:tcW w:w="2200" w:type="dxa"/>
            <w:tcBorders>
              <w:top w:val="single" w:sz="4" w:space="0" w:color="9BC2E6"/>
              <w:left w:val="nil"/>
              <w:bottom w:val="single" w:sz="4" w:space="0" w:color="9BC2E6"/>
              <w:right w:val="nil"/>
            </w:tcBorders>
            <w:shd w:val="clear" w:color="auto" w:fill="auto"/>
            <w:noWrap/>
            <w:vAlign w:val="bottom"/>
            <w:hideMark/>
          </w:tcPr>
          <w:p w14:paraId="1FDF712A"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231</w:t>
            </w:r>
          </w:p>
        </w:tc>
        <w:tc>
          <w:tcPr>
            <w:tcW w:w="2200" w:type="dxa"/>
            <w:tcBorders>
              <w:top w:val="single" w:sz="4" w:space="0" w:color="9BC2E6"/>
              <w:left w:val="nil"/>
              <w:bottom w:val="single" w:sz="4" w:space="0" w:color="9BC2E6"/>
              <w:right w:val="nil"/>
            </w:tcBorders>
            <w:shd w:val="clear" w:color="auto" w:fill="auto"/>
            <w:noWrap/>
            <w:vAlign w:val="bottom"/>
            <w:hideMark/>
          </w:tcPr>
          <w:p w14:paraId="5A05182C"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259</w:t>
            </w:r>
          </w:p>
        </w:tc>
        <w:tc>
          <w:tcPr>
            <w:tcW w:w="960" w:type="dxa"/>
            <w:tcBorders>
              <w:top w:val="single" w:sz="4" w:space="0" w:color="9BC2E6"/>
              <w:left w:val="nil"/>
              <w:bottom w:val="single" w:sz="4" w:space="0" w:color="9BC2E6"/>
              <w:right w:val="single" w:sz="4" w:space="0" w:color="9BC2E6"/>
            </w:tcBorders>
            <w:shd w:val="clear" w:color="auto" w:fill="auto"/>
            <w:noWrap/>
            <w:vAlign w:val="bottom"/>
            <w:hideMark/>
          </w:tcPr>
          <w:p w14:paraId="107D2781"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12,1%</w:t>
            </w:r>
          </w:p>
        </w:tc>
      </w:tr>
      <w:tr w:rsidR="00D81C87" w:rsidRPr="0008671B" w14:paraId="7123490F" w14:textId="77777777" w:rsidTr="006D0C76">
        <w:trPr>
          <w:trHeight w:val="300"/>
        </w:trPr>
        <w:tc>
          <w:tcPr>
            <w:tcW w:w="1580" w:type="dxa"/>
            <w:tcBorders>
              <w:top w:val="single" w:sz="4" w:space="0" w:color="9BC2E6"/>
              <w:left w:val="single" w:sz="4" w:space="0" w:color="9BC2E6"/>
              <w:bottom w:val="single" w:sz="4" w:space="0" w:color="9BC2E6"/>
              <w:right w:val="nil"/>
            </w:tcBorders>
            <w:shd w:val="clear" w:color="DDEBF7" w:fill="DDEBF7"/>
            <w:noWrap/>
            <w:vAlign w:val="bottom"/>
            <w:hideMark/>
          </w:tcPr>
          <w:p w14:paraId="28E157EF" w14:textId="77777777" w:rsidR="00D81C87" w:rsidRPr="0008671B" w:rsidRDefault="00D81C87" w:rsidP="006D0C76">
            <w:pPr>
              <w:suppressAutoHyphens w:val="0"/>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Landelijke zorg</w:t>
            </w:r>
          </w:p>
        </w:tc>
        <w:tc>
          <w:tcPr>
            <w:tcW w:w="2200" w:type="dxa"/>
            <w:tcBorders>
              <w:top w:val="single" w:sz="4" w:space="0" w:color="9BC2E6"/>
              <w:left w:val="nil"/>
              <w:bottom w:val="single" w:sz="4" w:space="0" w:color="9BC2E6"/>
              <w:right w:val="nil"/>
            </w:tcBorders>
            <w:shd w:val="clear" w:color="DDEBF7" w:fill="DDEBF7"/>
            <w:noWrap/>
            <w:vAlign w:val="bottom"/>
            <w:hideMark/>
          </w:tcPr>
          <w:p w14:paraId="67F72E6F"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39</w:t>
            </w:r>
          </w:p>
        </w:tc>
        <w:tc>
          <w:tcPr>
            <w:tcW w:w="2200" w:type="dxa"/>
            <w:tcBorders>
              <w:top w:val="single" w:sz="4" w:space="0" w:color="9BC2E6"/>
              <w:left w:val="nil"/>
              <w:bottom w:val="single" w:sz="4" w:space="0" w:color="9BC2E6"/>
              <w:right w:val="nil"/>
            </w:tcBorders>
            <w:shd w:val="clear" w:color="DDEBF7" w:fill="DDEBF7"/>
            <w:noWrap/>
            <w:vAlign w:val="bottom"/>
            <w:hideMark/>
          </w:tcPr>
          <w:p w14:paraId="10BD4486"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49</w:t>
            </w:r>
          </w:p>
        </w:tc>
        <w:tc>
          <w:tcPr>
            <w:tcW w:w="960" w:type="dxa"/>
            <w:tcBorders>
              <w:top w:val="single" w:sz="4" w:space="0" w:color="9BC2E6"/>
              <w:left w:val="nil"/>
              <w:bottom w:val="single" w:sz="4" w:space="0" w:color="9BC2E6"/>
              <w:right w:val="single" w:sz="4" w:space="0" w:color="9BC2E6"/>
            </w:tcBorders>
            <w:shd w:val="clear" w:color="DDEBF7" w:fill="DDEBF7"/>
            <w:noWrap/>
            <w:vAlign w:val="bottom"/>
            <w:hideMark/>
          </w:tcPr>
          <w:p w14:paraId="47FA873F"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25,6%</w:t>
            </w:r>
          </w:p>
        </w:tc>
      </w:tr>
      <w:tr w:rsidR="00D81C87" w:rsidRPr="0008671B" w14:paraId="3283791B" w14:textId="77777777" w:rsidTr="006D0C76">
        <w:trPr>
          <w:trHeight w:val="300"/>
        </w:trPr>
        <w:tc>
          <w:tcPr>
            <w:tcW w:w="1580" w:type="dxa"/>
            <w:tcBorders>
              <w:top w:val="single" w:sz="4" w:space="0" w:color="9BC2E6"/>
              <w:left w:val="single" w:sz="4" w:space="0" w:color="9BC2E6"/>
              <w:bottom w:val="single" w:sz="4" w:space="0" w:color="9BC2E6"/>
              <w:right w:val="nil"/>
            </w:tcBorders>
            <w:shd w:val="clear" w:color="auto" w:fill="auto"/>
            <w:noWrap/>
            <w:vAlign w:val="bottom"/>
            <w:hideMark/>
          </w:tcPr>
          <w:p w14:paraId="71B6C818" w14:textId="77777777" w:rsidR="00D81C87" w:rsidRPr="0008671B" w:rsidRDefault="00D81C87" w:rsidP="006D0C76">
            <w:pPr>
              <w:suppressAutoHyphens w:val="0"/>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Onbekend</w:t>
            </w:r>
          </w:p>
        </w:tc>
        <w:tc>
          <w:tcPr>
            <w:tcW w:w="2200" w:type="dxa"/>
            <w:tcBorders>
              <w:top w:val="single" w:sz="4" w:space="0" w:color="9BC2E6"/>
              <w:left w:val="nil"/>
              <w:bottom w:val="single" w:sz="4" w:space="0" w:color="9BC2E6"/>
              <w:right w:val="nil"/>
            </w:tcBorders>
            <w:shd w:val="clear" w:color="auto" w:fill="auto"/>
            <w:noWrap/>
            <w:vAlign w:val="bottom"/>
            <w:hideMark/>
          </w:tcPr>
          <w:p w14:paraId="0C274678"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15</w:t>
            </w:r>
          </w:p>
        </w:tc>
        <w:tc>
          <w:tcPr>
            <w:tcW w:w="2200" w:type="dxa"/>
            <w:tcBorders>
              <w:top w:val="single" w:sz="4" w:space="0" w:color="9BC2E6"/>
              <w:left w:val="nil"/>
              <w:bottom w:val="single" w:sz="4" w:space="0" w:color="9BC2E6"/>
              <w:right w:val="nil"/>
            </w:tcBorders>
            <w:shd w:val="clear" w:color="auto" w:fill="auto"/>
            <w:noWrap/>
            <w:vAlign w:val="bottom"/>
            <w:hideMark/>
          </w:tcPr>
          <w:p w14:paraId="59C725E9"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18</w:t>
            </w:r>
          </w:p>
        </w:tc>
        <w:tc>
          <w:tcPr>
            <w:tcW w:w="960" w:type="dxa"/>
            <w:tcBorders>
              <w:top w:val="single" w:sz="4" w:space="0" w:color="9BC2E6"/>
              <w:left w:val="nil"/>
              <w:bottom w:val="single" w:sz="4" w:space="0" w:color="9BC2E6"/>
              <w:right w:val="single" w:sz="4" w:space="0" w:color="9BC2E6"/>
            </w:tcBorders>
            <w:shd w:val="clear" w:color="auto" w:fill="auto"/>
            <w:noWrap/>
            <w:vAlign w:val="bottom"/>
            <w:hideMark/>
          </w:tcPr>
          <w:p w14:paraId="48063DF3" w14:textId="77777777" w:rsidR="00D81C87" w:rsidRPr="0008671B" w:rsidRDefault="00D81C87" w:rsidP="006D0C76">
            <w:pPr>
              <w:suppressAutoHyphens w:val="0"/>
              <w:jc w:val="right"/>
              <w:rPr>
                <w:rFonts w:ascii="Calibri" w:hAnsi="Calibri" w:cs="Times New Roman"/>
                <w:color w:val="000000"/>
                <w:sz w:val="22"/>
                <w:szCs w:val="22"/>
                <w:lang w:eastAsia="nl-NL"/>
              </w:rPr>
            </w:pPr>
            <w:r w:rsidRPr="0008671B">
              <w:rPr>
                <w:rFonts w:ascii="Calibri" w:hAnsi="Calibri" w:cs="Times New Roman"/>
                <w:color w:val="000000"/>
                <w:sz w:val="22"/>
                <w:szCs w:val="22"/>
                <w:lang w:eastAsia="nl-NL"/>
              </w:rPr>
              <w:t>20,0%</w:t>
            </w:r>
          </w:p>
        </w:tc>
      </w:tr>
      <w:tr w:rsidR="00D81C87" w:rsidRPr="0008671B" w14:paraId="1BC11C93" w14:textId="77777777" w:rsidTr="006D0C76">
        <w:trPr>
          <w:trHeight w:val="300"/>
        </w:trPr>
        <w:tc>
          <w:tcPr>
            <w:tcW w:w="1580" w:type="dxa"/>
            <w:tcBorders>
              <w:top w:val="single" w:sz="4" w:space="0" w:color="9BC2E6"/>
              <w:left w:val="single" w:sz="4" w:space="0" w:color="9BC2E6"/>
              <w:bottom w:val="single" w:sz="4" w:space="0" w:color="9BC2E6"/>
              <w:right w:val="nil"/>
            </w:tcBorders>
            <w:shd w:val="clear" w:color="DDEBF7" w:fill="DDEBF7"/>
            <w:noWrap/>
            <w:vAlign w:val="bottom"/>
            <w:hideMark/>
          </w:tcPr>
          <w:p w14:paraId="78C9D4E0" w14:textId="77777777" w:rsidR="00D81C87" w:rsidRPr="0008671B" w:rsidRDefault="00D81C87" w:rsidP="006D0C76">
            <w:pPr>
              <w:suppressAutoHyphens w:val="0"/>
              <w:rPr>
                <w:rFonts w:ascii="Calibri" w:hAnsi="Calibri" w:cs="Times New Roman"/>
                <w:b/>
                <w:bCs/>
                <w:color w:val="000000"/>
                <w:sz w:val="22"/>
                <w:szCs w:val="22"/>
                <w:lang w:eastAsia="nl-NL"/>
              </w:rPr>
            </w:pPr>
            <w:r w:rsidRPr="0008671B">
              <w:rPr>
                <w:rFonts w:ascii="Calibri" w:hAnsi="Calibri" w:cs="Times New Roman"/>
                <w:b/>
                <w:bCs/>
                <w:color w:val="000000"/>
                <w:sz w:val="22"/>
                <w:szCs w:val="22"/>
                <w:lang w:eastAsia="nl-NL"/>
              </w:rPr>
              <w:t>Totaal</w:t>
            </w:r>
          </w:p>
        </w:tc>
        <w:tc>
          <w:tcPr>
            <w:tcW w:w="2200" w:type="dxa"/>
            <w:tcBorders>
              <w:top w:val="single" w:sz="4" w:space="0" w:color="9BC2E6"/>
              <w:left w:val="nil"/>
              <w:bottom w:val="single" w:sz="4" w:space="0" w:color="9BC2E6"/>
              <w:right w:val="nil"/>
            </w:tcBorders>
            <w:shd w:val="clear" w:color="DDEBF7" w:fill="DDEBF7"/>
            <w:noWrap/>
            <w:vAlign w:val="bottom"/>
            <w:hideMark/>
          </w:tcPr>
          <w:p w14:paraId="71F88DEF" w14:textId="77777777" w:rsidR="00D81C87" w:rsidRPr="0008671B" w:rsidRDefault="00D81C87" w:rsidP="006D0C76">
            <w:pPr>
              <w:suppressAutoHyphens w:val="0"/>
              <w:jc w:val="right"/>
              <w:rPr>
                <w:rFonts w:ascii="Calibri" w:hAnsi="Calibri" w:cs="Times New Roman"/>
                <w:b/>
                <w:bCs/>
                <w:color w:val="000000"/>
                <w:sz w:val="22"/>
                <w:szCs w:val="22"/>
                <w:lang w:eastAsia="nl-NL"/>
              </w:rPr>
            </w:pPr>
            <w:r w:rsidRPr="0008671B">
              <w:rPr>
                <w:rFonts w:ascii="Calibri" w:hAnsi="Calibri" w:cs="Times New Roman"/>
                <w:b/>
                <w:bCs/>
                <w:color w:val="000000"/>
                <w:sz w:val="22"/>
                <w:szCs w:val="22"/>
                <w:lang w:eastAsia="nl-NL"/>
              </w:rPr>
              <w:t>6</w:t>
            </w:r>
            <w:r>
              <w:rPr>
                <w:rFonts w:ascii="Calibri" w:hAnsi="Calibri" w:cs="Times New Roman"/>
                <w:b/>
                <w:bCs/>
                <w:color w:val="000000"/>
                <w:sz w:val="22"/>
                <w:szCs w:val="22"/>
                <w:lang w:eastAsia="nl-NL"/>
              </w:rPr>
              <w:t>.</w:t>
            </w:r>
            <w:r w:rsidRPr="0008671B">
              <w:rPr>
                <w:rFonts w:ascii="Calibri" w:hAnsi="Calibri" w:cs="Times New Roman"/>
                <w:b/>
                <w:bCs/>
                <w:color w:val="000000"/>
                <w:sz w:val="22"/>
                <w:szCs w:val="22"/>
                <w:lang w:eastAsia="nl-NL"/>
              </w:rPr>
              <w:t>168</w:t>
            </w:r>
          </w:p>
        </w:tc>
        <w:tc>
          <w:tcPr>
            <w:tcW w:w="2200" w:type="dxa"/>
            <w:tcBorders>
              <w:top w:val="single" w:sz="4" w:space="0" w:color="9BC2E6"/>
              <w:left w:val="nil"/>
              <w:bottom w:val="single" w:sz="4" w:space="0" w:color="9BC2E6"/>
              <w:right w:val="nil"/>
            </w:tcBorders>
            <w:shd w:val="clear" w:color="DDEBF7" w:fill="DDEBF7"/>
            <w:noWrap/>
            <w:vAlign w:val="bottom"/>
            <w:hideMark/>
          </w:tcPr>
          <w:p w14:paraId="6769EDB4" w14:textId="77777777" w:rsidR="00D81C87" w:rsidRPr="0008671B" w:rsidRDefault="00D81C87" w:rsidP="006D0C76">
            <w:pPr>
              <w:suppressAutoHyphens w:val="0"/>
              <w:jc w:val="right"/>
              <w:rPr>
                <w:rFonts w:ascii="Calibri" w:hAnsi="Calibri" w:cs="Times New Roman"/>
                <w:b/>
                <w:bCs/>
                <w:color w:val="000000"/>
                <w:sz w:val="22"/>
                <w:szCs w:val="22"/>
                <w:lang w:eastAsia="nl-NL"/>
              </w:rPr>
            </w:pPr>
            <w:r w:rsidRPr="0008671B">
              <w:rPr>
                <w:rFonts w:ascii="Calibri" w:hAnsi="Calibri" w:cs="Times New Roman"/>
                <w:b/>
                <w:bCs/>
                <w:color w:val="000000"/>
                <w:sz w:val="22"/>
                <w:szCs w:val="22"/>
                <w:lang w:eastAsia="nl-NL"/>
              </w:rPr>
              <w:t>6</w:t>
            </w:r>
            <w:r>
              <w:rPr>
                <w:rFonts w:ascii="Calibri" w:hAnsi="Calibri" w:cs="Times New Roman"/>
                <w:b/>
                <w:bCs/>
                <w:color w:val="000000"/>
                <w:sz w:val="22"/>
                <w:szCs w:val="22"/>
                <w:lang w:eastAsia="nl-NL"/>
              </w:rPr>
              <w:t>.</w:t>
            </w:r>
            <w:r w:rsidRPr="0008671B">
              <w:rPr>
                <w:rFonts w:ascii="Calibri" w:hAnsi="Calibri" w:cs="Times New Roman"/>
                <w:b/>
                <w:bCs/>
                <w:color w:val="000000"/>
                <w:sz w:val="22"/>
                <w:szCs w:val="22"/>
                <w:lang w:eastAsia="nl-NL"/>
              </w:rPr>
              <w:t>498</w:t>
            </w:r>
          </w:p>
        </w:tc>
        <w:tc>
          <w:tcPr>
            <w:tcW w:w="960" w:type="dxa"/>
            <w:tcBorders>
              <w:top w:val="single" w:sz="4" w:space="0" w:color="9BC2E6"/>
              <w:left w:val="nil"/>
              <w:bottom w:val="single" w:sz="4" w:space="0" w:color="9BC2E6"/>
              <w:right w:val="single" w:sz="4" w:space="0" w:color="9BC2E6"/>
            </w:tcBorders>
            <w:shd w:val="clear" w:color="DDEBF7" w:fill="DDEBF7"/>
            <w:noWrap/>
            <w:vAlign w:val="bottom"/>
            <w:hideMark/>
          </w:tcPr>
          <w:p w14:paraId="65D0F12C" w14:textId="77777777" w:rsidR="00D81C87" w:rsidRPr="0008671B" w:rsidRDefault="00D81C87" w:rsidP="006D0C76">
            <w:pPr>
              <w:suppressAutoHyphens w:val="0"/>
              <w:jc w:val="right"/>
              <w:rPr>
                <w:rFonts w:ascii="Calibri" w:hAnsi="Calibri" w:cs="Times New Roman"/>
                <w:b/>
                <w:bCs/>
                <w:color w:val="000000"/>
                <w:sz w:val="22"/>
                <w:szCs w:val="22"/>
                <w:lang w:eastAsia="nl-NL"/>
              </w:rPr>
            </w:pPr>
            <w:r w:rsidRPr="0008671B">
              <w:rPr>
                <w:rFonts w:ascii="Calibri" w:hAnsi="Calibri" w:cs="Times New Roman"/>
                <w:b/>
                <w:bCs/>
                <w:color w:val="000000"/>
                <w:sz w:val="22"/>
                <w:szCs w:val="22"/>
                <w:lang w:eastAsia="nl-NL"/>
              </w:rPr>
              <w:t>5,4%</w:t>
            </w:r>
          </w:p>
        </w:tc>
      </w:tr>
    </w:tbl>
    <w:p w14:paraId="5A71E2FB" w14:textId="77777777" w:rsidR="00D81C87" w:rsidRDefault="00D81C87" w:rsidP="00D81C87">
      <w:pPr>
        <w:rPr>
          <w:i/>
          <w:sz w:val="16"/>
        </w:rPr>
      </w:pPr>
      <w:r w:rsidRPr="00E608FA">
        <w:rPr>
          <w:i/>
          <w:sz w:val="16"/>
        </w:rPr>
        <w:t xml:space="preserve">Per perceel is het aantal unieke cliënten te zien. Omdat een cliënt in meerdere percelen </w:t>
      </w:r>
    </w:p>
    <w:p w14:paraId="5E1D9E22" w14:textId="77777777" w:rsidR="00D81C87" w:rsidRPr="00E608FA" w:rsidRDefault="00D81C87" w:rsidP="00D81C87">
      <w:pPr>
        <w:rPr>
          <w:i/>
          <w:sz w:val="16"/>
        </w:rPr>
      </w:pPr>
      <w:r w:rsidRPr="00E608FA">
        <w:rPr>
          <w:i/>
          <w:sz w:val="16"/>
        </w:rPr>
        <w:t>Jeugdhulp kan ontvangen telt het totaal op tot meer dan het totale unieke aantal cliënten (laatste regel)</w:t>
      </w:r>
      <w:r>
        <w:rPr>
          <w:i/>
          <w:sz w:val="16"/>
        </w:rPr>
        <w:t>.</w:t>
      </w:r>
      <w:r w:rsidRPr="00E608FA">
        <w:rPr>
          <w:i/>
          <w:sz w:val="16"/>
        </w:rPr>
        <w:t xml:space="preserve"> </w:t>
      </w:r>
    </w:p>
    <w:p w14:paraId="31486E39" w14:textId="77777777" w:rsidR="00D81C87" w:rsidRDefault="00D81C87" w:rsidP="00D81C87"/>
    <w:p w14:paraId="42B93B73" w14:textId="0F77AAD2" w:rsidR="00D81C87" w:rsidRDefault="00D81C87" w:rsidP="00D81C87">
      <w:r>
        <w:t>Het aantal unieke jeugdigen dat zorg heeft ontvangen (en bij ons bekend) is in 2016 bijna 6.500. Dat is een stijging van ruim 5% ten opzichte van het jaar</w:t>
      </w:r>
      <w:r w:rsidR="00882A0C">
        <w:t xml:space="preserve"> 2015</w:t>
      </w:r>
      <w:r>
        <w:t>. Als dit wordt afgezet tegen het</w:t>
      </w:r>
      <w:r w:rsidR="00882A0C">
        <w:t xml:space="preserve"> totaal</w:t>
      </w:r>
      <w:r>
        <w:t xml:space="preserve"> </w:t>
      </w:r>
      <w:r w:rsidR="00882A0C">
        <w:t>aantal jeugdigen in de Jeugdhulpr</w:t>
      </w:r>
      <w:r>
        <w:t xml:space="preserve">egio FoodValley ontvangt 9% van de jeugdigen een vorm van hulp. </w:t>
      </w:r>
    </w:p>
    <w:p w14:paraId="4B375C30" w14:textId="3606BFF3" w:rsidR="00D81C87" w:rsidRDefault="00D81C87" w:rsidP="00882A0C">
      <w:r>
        <w:t xml:space="preserve">In tabel 2 zijn nog een paar </w:t>
      </w:r>
      <w:r w:rsidR="00882A0C">
        <w:t>opvallende dingen af te leiden:</w:t>
      </w:r>
    </w:p>
    <w:p w14:paraId="539EBF9B" w14:textId="77777777" w:rsidR="00882A0C" w:rsidRDefault="00D81C87" w:rsidP="00D81C87">
      <w:pPr>
        <w:numPr>
          <w:ilvl w:val="0"/>
          <w:numId w:val="11"/>
        </w:numPr>
      </w:pPr>
      <w:r>
        <w:t>16%</w:t>
      </w:r>
      <w:r w:rsidR="00882A0C">
        <w:t xml:space="preserve"> </w:t>
      </w:r>
      <w:r>
        <w:t>van de unieke cliënten zat in 2016 in verblijf.</w:t>
      </w:r>
      <w:r w:rsidR="00882A0C">
        <w:t xml:space="preserve"> </w:t>
      </w:r>
    </w:p>
    <w:p w14:paraId="25D86CDD" w14:textId="0C29773A" w:rsidR="00D81C87" w:rsidRDefault="00D81C87" w:rsidP="00D81C87">
      <w:pPr>
        <w:numPr>
          <w:ilvl w:val="0"/>
          <w:numId w:val="11"/>
        </w:numPr>
      </w:pPr>
      <w:r>
        <w:t>88% van de unieke cliënten ontvangt tenminste ambulante zorg.</w:t>
      </w:r>
    </w:p>
    <w:p w14:paraId="7AD52270" w14:textId="5E6A09F9" w:rsidR="00D81C87" w:rsidRPr="00EF3509" w:rsidRDefault="00D81C87" w:rsidP="00274802">
      <w:pPr>
        <w:numPr>
          <w:ilvl w:val="0"/>
          <w:numId w:val="11"/>
        </w:numPr>
        <w:rPr>
          <w:b/>
          <w:i/>
        </w:rPr>
      </w:pPr>
      <w:r>
        <w:t>Bij elk perceel is er een groei van het aantal cliënten behalve bij het perceel Veiligheid.</w:t>
      </w:r>
      <w:r w:rsidR="00274802">
        <w:br/>
      </w:r>
      <w:r w:rsidR="00274802">
        <w:t>Nog niet alle GI’s hebben cijfers aangeleverd.</w:t>
      </w:r>
      <w:bookmarkStart w:id="0" w:name="_GoBack"/>
      <w:bookmarkEnd w:id="0"/>
    </w:p>
    <w:p w14:paraId="5D971FD1" w14:textId="4B7FB617" w:rsidR="00D81C87" w:rsidRPr="009A5F70" w:rsidRDefault="00D81C87" w:rsidP="00D81C87">
      <w:pPr>
        <w:numPr>
          <w:ilvl w:val="0"/>
          <w:numId w:val="11"/>
        </w:numPr>
        <w:rPr>
          <w:b/>
          <w:i/>
        </w:rPr>
      </w:pPr>
      <w:r>
        <w:t>Procentueel zit de grootste groei bij v</w:t>
      </w:r>
      <w:r w:rsidR="00882A0C">
        <w:t>erblijf,</w:t>
      </w:r>
      <w:r>
        <w:t xml:space="preserve"> bovenregionale en de landelijke zorg.</w:t>
      </w:r>
    </w:p>
    <w:p w14:paraId="391C101D" w14:textId="77777777" w:rsidR="00D81C87" w:rsidRPr="00B113A0" w:rsidRDefault="00D81C87" w:rsidP="00D81C87"/>
    <w:sectPr w:rsidR="00D81C87" w:rsidRPr="00B113A0" w:rsidSect="00857D6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0C538" w14:textId="77777777" w:rsidR="00D81C87" w:rsidRDefault="00D81C87" w:rsidP="00D81C87">
      <w:r>
        <w:separator/>
      </w:r>
    </w:p>
  </w:endnote>
  <w:endnote w:type="continuationSeparator" w:id="0">
    <w:p w14:paraId="09077EE5" w14:textId="77777777" w:rsidR="00D81C87" w:rsidRDefault="00D81C87" w:rsidP="00D8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IN-Bold">
    <w:altName w:val="Century Gothi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A1AF9" w14:textId="77777777" w:rsidR="00D81C87" w:rsidRDefault="00D81C87">
    <w:pPr>
      <w:pStyle w:val="Voettekst"/>
      <w:jc w:val="center"/>
    </w:pPr>
    <w:r>
      <w:fldChar w:fldCharType="begin"/>
    </w:r>
    <w:r>
      <w:instrText>PAGE   \* MERGEFORMAT</w:instrText>
    </w:r>
    <w:r>
      <w:fldChar w:fldCharType="separate"/>
    </w:r>
    <w:r w:rsidR="00EF3509">
      <w:rPr>
        <w:noProof/>
      </w:rPr>
      <w:t>4</w:t>
    </w:r>
    <w:r>
      <w:fldChar w:fldCharType="end"/>
    </w:r>
  </w:p>
  <w:p w14:paraId="58B96FB6" w14:textId="77777777" w:rsidR="00D81C87" w:rsidRDefault="00D81C8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E8A0" w14:textId="77777777" w:rsidR="00D81C87" w:rsidRDefault="00D81C8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B60C" w14:textId="77777777" w:rsidR="00D81C87" w:rsidRDefault="00D81C87">
    <w:pPr>
      <w:pStyle w:val="Voettekst"/>
      <w:jc w:val="center"/>
    </w:pPr>
    <w:r>
      <w:fldChar w:fldCharType="begin"/>
    </w:r>
    <w:r>
      <w:instrText xml:space="preserve"> PAGE </w:instrText>
    </w:r>
    <w:r>
      <w:fldChar w:fldCharType="separate"/>
    </w:r>
    <w:r w:rsidR="00EF3509">
      <w:rPr>
        <w:noProof/>
      </w:rPr>
      <w:t>9</w:t>
    </w:r>
    <w:r>
      <w:fldChar w:fldCharType="end"/>
    </w:r>
  </w:p>
  <w:p w14:paraId="1798C6AC" w14:textId="77777777" w:rsidR="00D81C87" w:rsidRDefault="00D81C87">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C484" w14:textId="77777777" w:rsidR="00D81C87" w:rsidRDefault="00D81C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44131" w14:textId="77777777" w:rsidR="00D81C87" w:rsidRDefault="00D81C87" w:rsidP="00D81C87">
      <w:r>
        <w:separator/>
      </w:r>
    </w:p>
  </w:footnote>
  <w:footnote w:type="continuationSeparator" w:id="0">
    <w:p w14:paraId="01D3C00D" w14:textId="77777777" w:rsidR="00D81C87" w:rsidRDefault="00D81C87" w:rsidP="00D81C87">
      <w:r>
        <w:continuationSeparator/>
      </w:r>
    </w:p>
  </w:footnote>
  <w:footnote w:id="1">
    <w:p w14:paraId="36BE1299" w14:textId="77777777" w:rsidR="00D81C87" w:rsidRPr="0000408D" w:rsidRDefault="00D81C87" w:rsidP="00D81C87">
      <w:pPr>
        <w:keepNext/>
        <w:keepLines/>
        <w:rPr>
          <w:szCs w:val="20"/>
        </w:rPr>
      </w:pPr>
      <w:r>
        <w:rPr>
          <w:rStyle w:val="Voetnootmarkering"/>
        </w:rPr>
        <w:footnoteRef/>
      </w:r>
      <w:r>
        <w:t xml:space="preserve"> </w:t>
      </w:r>
      <w:r>
        <w:rPr>
          <w:szCs w:val="20"/>
        </w:rPr>
        <w:t xml:space="preserve">Het is momenteel nog niet mogelijk om uit onze gegevens de voogdijcliënten te splitsen van jeugdigen met regiobinding.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5A9A" w14:textId="77777777" w:rsidR="00D81C87" w:rsidRDefault="00D81C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E64F" w14:textId="77777777" w:rsidR="00D81C87" w:rsidRDefault="00D81C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pStyle w:val="Kop4"/>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3"/>
    <w:multiLevelType w:val="singleLevel"/>
    <w:tmpl w:val="00000003"/>
    <w:name w:val="WW8Num6"/>
    <w:lvl w:ilvl="0">
      <w:start w:val="1"/>
      <w:numFmt w:val="decimal"/>
      <w:lvlText w:val="%1."/>
      <w:lvlJc w:val="left"/>
      <w:pPr>
        <w:tabs>
          <w:tab w:val="num" w:pos="0"/>
        </w:tabs>
        <w:ind w:left="720" w:hanging="360"/>
      </w:pPr>
      <w:rPr>
        <w:bCs/>
        <w:sz w:val="20"/>
        <w:szCs w:val="20"/>
      </w:rPr>
    </w:lvl>
  </w:abstractNum>
  <w:abstractNum w:abstractNumId="2"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OpenSymbol"/>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3213506"/>
    <w:multiLevelType w:val="hybridMultilevel"/>
    <w:tmpl w:val="D9B47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4171D68"/>
    <w:multiLevelType w:val="hybridMultilevel"/>
    <w:tmpl w:val="A8E87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AD0030F"/>
    <w:multiLevelType w:val="hybridMultilevel"/>
    <w:tmpl w:val="3B720772"/>
    <w:lvl w:ilvl="0" w:tplc="BBE4C7D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6D1769E"/>
    <w:multiLevelType w:val="hybridMultilevel"/>
    <w:tmpl w:val="9D58CC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7611D13"/>
    <w:multiLevelType w:val="hybridMultilevel"/>
    <w:tmpl w:val="EC9CD026"/>
    <w:lvl w:ilvl="0" w:tplc="16842C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F01E2C"/>
    <w:multiLevelType w:val="hybridMultilevel"/>
    <w:tmpl w:val="7EE82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864C57"/>
    <w:multiLevelType w:val="hybridMultilevel"/>
    <w:tmpl w:val="F5C07700"/>
    <w:lvl w:ilvl="0" w:tplc="16842C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D46091"/>
    <w:multiLevelType w:val="hybridMultilevel"/>
    <w:tmpl w:val="D496133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20D5F98"/>
    <w:multiLevelType w:val="hybridMultilevel"/>
    <w:tmpl w:val="0DE0BD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AA3FB4"/>
    <w:multiLevelType w:val="hybridMultilevel"/>
    <w:tmpl w:val="647C3F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D04DF0"/>
    <w:multiLevelType w:val="hybridMultilevel"/>
    <w:tmpl w:val="76FC126E"/>
    <w:lvl w:ilvl="0" w:tplc="16842CAA">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5FA7B88"/>
    <w:multiLevelType w:val="hybridMultilevel"/>
    <w:tmpl w:val="BEDA351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7" w15:restartNumberingAfterBreak="0">
    <w:nsid w:val="464512CD"/>
    <w:multiLevelType w:val="hybridMultilevel"/>
    <w:tmpl w:val="0A581E4E"/>
    <w:lvl w:ilvl="0" w:tplc="16842CAA">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141568"/>
    <w:multiLevelType w:val="hybridMultilevel"/>
    <w:tmpl w:val="7A94E1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9293F31"/>
    <w:multiLevelType w:val="hybridMultilevel"/>
    <w:tmpl w:val="26387EB6"/>
    <w:lvl w:ilvl="0" w:tplc="04130001">
      <w:start w:val="1"/>
      <w:numFmt w:val="bullet"/>
      <w:lvlText w:val=""/>
      <w:lvlJc w:val="left"/>
      <w:pPr>
        <w:ind w:left="720" w:hanging="360"/>
      </w:pPr>
      <w:rPr>
        <w:rFonts w:ascii="Symbol" w:hAnsi="Symbol" w:hint="default"/>
      </w:rPr>
    </w:lvl>
    <w:lvl w:ilvl="1" w:tplc="DA1ABCB2">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B8375AD"/>
    <w:multiLevelType w:val="hybridMultilevel"/>
    <w:tmpl w:val="EE14301C"/>
    <w:lvl w:ilvl="0" w:tplc="16842CAA">
      <w:start w:val="7"/>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24A0655"/>
    <w:multiLevelType w:val="hybridMultilevel"/>
    <w:tmpl w:val="14D454A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CA96284"/>
    <w:multiLevelType w:val="hybridMultilevel"/>
    <w:tmpl w:val="4F641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DBA5AC2"/>
    <w:multiLevelType w:val="hybridMultilevel"/>
    <w:tmpl w:val="F9FCF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022273F"/>
    <w:multiLevelType w:val="hybridMultilevel"/>
    <w:tmpl w:val="B5587E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15"/>
  </w:num>
  <w:num w:numId="4">
    <w:abstractNumId w:val="11"/>
  </w:num>
  <w:num w:numId="5">
    <w:abstractNumId w:val="17"/>
  </w:num>
  <w:num w:numId="6">
    <w:abstractNumId w:val="9"/>
  </w:num>
  <w:num w:numId="7">
    <w:abstractNumId w:val="1"/>
  </w:num>
  <w:num w:numId="8">
    <w:abstractNumId w:val="2"/>
  </w:num>
  <w:num w:numId="9">
    <w:abstractNumId w:val="3"/>
  </w:num>
  <w:num w:numId="10">
    <w:abstractNumId w:val="4"/>
  </w:num>
  <w:num w:numId="11">
    <w:abstractNumId w:val="14"/>
  </w:num>
  <w:num w:numId="12">
    <w:abstractNumId w:val="6"/>
  </w:num>
  <w:num w:numId="13">
    <w:abstractNumId w:val="24"/>
  </w:num>
  <w:num w:numId="14">
    <w:abstractNumId w:val="16"/>
  </w:num>
  <w:num w:numId="15">
    <w:abstractNumId w:val="13"/>
  </w:num>
  <w:num w:numId="16">
    <w:abstractNumId w:val="8"/>
  </w:num>
  <w:num w:numId="17">
    <w:abstractNumId w:val="19"/>
  </w:num>
  <w:num w:numId="18">
    <w:abstractNumId w:val="10"/>
  </w:num>
  <w:num w:numId="19">
    <w:abstractNumId w:val="18"/>
  </w:num>
  <w:num w:numId="20">
    <w:abstractNumId w:val="22"/>
  </w:num>
  <w:num w:numId="21">
    <w:abstractNumId w:val="23"/>
  </w:num>
  <w:num w:numId="22">
    <w:abstractNumId w:val="12"/>
  </w:num>
  <w:num w:numId="23">
    <w:abstractNumId w:val="21"/>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EF"/>
    <w:rsid w:val="00005BE9"/>
    <w:rsid w:val="00037776"/>
    <w:rsid w:val="00056778"/>
    <w:rsid w:val="000B01D4"/>
    <w:rsid w:val="000C7AC3"/>
    <w:rsid w:val="000D72E4"/>
    <w:rsid w:val="000E6763"/>
    <w:rsid w:val="00142BB8"/>
    <w:rsid w:val="00167E1B"/>
    <w:rsid w:val="001922B7"/>
    <w:rsid w:val="001C1E95"/>
    <w:rsid w:val="001E4130"/>
    <w:rsid w:val="00241B04"/>
    <w:rsid w:val="00274802"/>
    <w:rsid w:val="00276E72"/>
    <w:rsid w:val="0029368E"/>
    <w:rsid w:val="002B48EB"/>
    <w:rsid w:val="002C0F9B"/>
    <w:rsid w:val="002D15D9"/>
    <w:rsid w:val="002D1AAC"/>
    <w:rsid w:val="00322EEC"/>
    <w:rsid w:val="00335F68"/>
    <w:rsid w:val="00355F5E"/>
    <w:rsid w:val="00365008"/>
    <w:rsid w:val="00371656"/>
    <w:rsid w:val="00373B3D"/>
    <w:rsid w:val="003B6607"/>
    <w:rsid w:val="003C2983"/>
    <w:rsid w:val="003C4057"/>
    <w:rsid w:val="003F4A41"/>
    <w:rsid w:val="00425FBC"/>
    <w:rsid w:val="00435847"/>
    <w:rsid w:val="004359DD"/>
    <w:rsid w:val="00453213"/>
    <w:rsid w:val="00461D5B"/>
    <w:rsid w:val="00477E8D"/>
    <w:rsid w:val="004B084D"/>
    <w:rsid w:val="004B6B55"/>
    <w:rsid w:val="004E587C"/>
    <w:rsid w:val="004F6D81"/>
    <w:rsid w:val="00502C62"/>
    <w:rsid w:val="00512906"/>
    <w:rsid w:val="00522AAD"/>
    <w:rsid w:val="0052707A"/>
    <w:rsid w:val="00552E2B"/>
    <w:rsid w:val="00573881"/>
    <w:rsid w:val="00577AC5"/>
    <w:rsid w:val="005A2A3E"/>
    <w:rsid w:val="005B7B71"/>
    <w:rsid w:val="005C04B7"/>
    <w:rsid w:val="005D6502"/>
    <w:rsid w:val="006112C0"/>
    <w:rsid w:val="00615B08"/>
    <w:rsid w:val="00616119"/>
    <w:rsid w:val="006214F5"/>
    <w:rsid w:val="006474CB"/>
    <w:rsid w:val="006C4D1F"/>
    <w:rsid w:val="00703B01"/>
    <w:rsid w:val="00714CB9"/>
    <w:rsid w:val="007315FD"/>
    <w:rsid w:val="00762376"/>
    <w:rsid w:val="00777B82"/>
    <w:rsid w:val="0079024D"/>
    <w:rsid w:val="00795553"/>
    <w:rsid w:val="007A169C"/>
    <w:rsid w:val="007B6076"/>
    <w:rsid w:val="007B6B8E"/>
    <w:rsid w:val="007B7D4E"/>
    <w:rsid w:val="007C67B2"/>
    <w:rsid w:val="007D0AB5"/>
    <w:rsid w:val="007D3B94"/>
    <w:rsid w:val="0080158E"/>
    <w:rsid w:val="00857D61"/>
    <w:rsid w:val="00871EF6"/>
    <w:rsid w:val="00882A0C"/>
    <w:rsid w:val="00890F75"/>
    <w:rsid w:val="008C4783"/>
    <w:rsid w:val="008D2918"/>
    <w:rsid w:val="008F2E08"/>
    <w:rsid w:val="00937342"/>
    <w:rsid w:val="00964583"/>
    <w:rsid w:val="00964717"/>
    <w:rsid w:val="009C5B46"/>
    <w:rsid w:val="00A0116B"/>
    <w:rsid w:val="00A33EB7"/>
    <w:rsid w:val="00A36575"/>
    <w:rsid w:val="00A41E07"/>
    <w:rsid w:val="00A807EF"/>
    <w:rsid w:val="00AB7724"/>
    <w:rsid w:val="00AC2695"/>
    <w:rsid w:val="00AD0177"/>
    <w:rsid w:val="00AF05AC"/>
    <w:rsid w:val="00AF1BFC"/>
    <w:rsid w:val="00B16D6E"/>
    <w:rsid w:val="00B83AFC"/>
    <w:rsid w:val="00B910D6"/>
    <w:rsid w:val="00B913E8"/>
    <w:rsid w:val="00BA158F"/>
    <w:rsid w:val="00BB5C21"/>
    <w:rsid w:val="00BE3F9A"/>
    <w:rsid w:val="00C7038A"/>
    <w:rsid w:val="00C84301"/>
    <w:rsid w:val="00CC1696"/>
    <w:rsid w:val="00CD3435"/>
    <w:rsid w:val="00CD4FC5"/>
    <w:rsid w:val="00D456FF"/>
    <w:rsid w:val="00D45ED3"/>
    <w:rsid w:val="00D81C87"/>
    <w:rsid w:val="00DB4B0E"/>
    <w:rsid w:val="00E13E70"/>
    <w:rsid w:val="00E254D8"/>
    <w:rsid w:val="00E26703"/>
    <w:rsid w:val="00E8342F"/>
    <w:rsid w:val="00E8764E"/>
    <w:rsid w:val="00E95548"/>
    <w:rsid w:val="00EB22A5"/>
    <w:rsid w:val="00EC398B"/>
    <w:rsid w:val="00ED2E5F"/>
    <w:rsid w:val="00ED52C4"/>
    <w:rsid w:val="00EE3E37"/>
    <w:rsid w:val="00EF3509"/>
    <w:rsid w:val="00F33067"/>
    <w:rsid w:val="00F82A70"/>
    <w:rsid w:val="00FC063E"/>
    <w:rsid w:val="00FE26A2"/>
    <w:rsid w:val="00FE31B8"/>
    <w:rsid w:val="00FF2A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B0A912"/>
  <w15:chartTrackingRefBased/>
  <w15:docId w15:val="{32342810-EAE5-463C-833F-B0893ACCB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rFonts w:ascii="Arial" w:hAnsi="Arial" w:cs="Arial"/>
      <w:szCs w:val="24"/>
      <w:lang w:eastAsia="zh-CN"/>
    </w:rPr>
  </w:style>
  <w:style w:type="paragraph" w:styleId="Kop1">
    <w:name w:val="heading 1"/>
    <w:basedOn w:val="Standaard"/>
    <w:next w:val="Standaard"/>
    <w:qFormat/>
    <w:pPr>
      <w:keepNext/>
      <w:numPr>
        <w:numId w:val="1"/>
      </w:numPr>
      <w:outlineLvl w:val="0"/>
    </w:pPr>
    <w:rPr>
      <w:b/>
      <w:kern w:val="1"/>
      <w:szCs w:val="20"/>
      <w:lang w:val="x-none"/>
    </w:rPr>
  </w:style>
  <w:style w:type="paragraph" w:styleId="Kop2">
    <w:name w:val="heading 2"/>
    <w:basedOn w:val="Standaard"/>
    <w:next w:val="Standaard"/>
    <w:qFormat/>
    <w:pPr>
      <w:keepNext/>
      <w:numPr>
        <w:ilvl w:val="1"/>
        <w:numId w:val="1"/>
      </w:numPr>
      <w:pBdr>
        <w:top w:val="single" w:sz="4" w:space="1" w:color="000000"/>
        <w:bottom w:val="single" w:sz="4" w:space="1" w:color="000000"/>
      </w:pBdr>
      <w:outlineLvl w:val="1"/>
    </w:pPr>
    <w:rPr>
      <w:b/>
      <w:kern w:val="1"/>
      <w:szCs w:val="20"/>
      <w:lang w:val="x-none"/>
    </w:rPr>
  </w:style>
  <w:style w:type="paragraph" w:styleId="Kop3">
    <w:name w:val="heading 3"/>
    <w:basedOn w:val="Standaard"/>
    <w:next w:val="Standaard"/>
    <w:qFormat/>
    <w:pPr>
      <w:keepNext/>
      <w:numPr>
        <w:ilvl w:val="2"/>
        <w:numId w:val="1"/>
      </w:numPr>
      <w:outlineLvl w:val="2"/>
    </w:pPr>
    <w:rPr>
      <w:b/>
      <w:smallCaps/>
      <w:kern w:val="1"/>
      <w:szCs w:val="20"/>
      <w:lang w:val="x-none"/>
    </w:rPr>
  </w:style>
  <w:style w:type="paragraph" w:styleId="Kop4">
    <w:name w:val="heading 4"/>
    <w:basedOn w:val="Standaard"/>
    <w:next w:val="Standaard"/>
    <w:qFormat/>
    <w:pPr>
      <w:keepNext/>
      <w:numPr>
        <w:ilvl w:val="3"/>
        <w:numId w:val="1"/>
      </w:numPr>
      <w:outlineLvl w:val="3"/>
    </w:pPr>
    <w:rPr>
      <w:i/>
      <w:kern w:val="1"/>
      <w:szCs w:val="2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qFormat/>
    <w:rsid w:val="00B913E8"/>
    <w:pPr>
      <w:keepNext/>
      <w:spacing w:before="240" w:after="120"/>
      <w:jc w:val="center"/>
    </w:pPr>
    <w:rPr>
      <w:rFonts w:eastAsia="Microsoft YaHei" w:cs="Mangal"/>
      <w:b/>
      <w:bCs/>
      <w:sz w:val="36"/>
      <w:szCs w:val="36"/>
    </w:rPr>
  </w:style>
  <w:style w:type="paragraph" w:customStyle="1" w:styleId="MEEDocumentTitel">
    <w:name w:val="MEE_DocumentTitel"/>
    <w:basedOn w:val="Standaard"/>
    <w:rsid w:val="007D3B94"/>
    <w:pPr>
      <w:spacing w:line="280" w:lineRule="atLeast"/>
    </w:pPr>
    <w:rPr>
      <w:rFonts w:ascii="DIN-Bold" w:hAnsi="DIN-Bold" w:cs="DIN-Bold"/>
      <w:sz w:val="24"/>
      <w:szCs w:val="20"/>
    </w:rPr>
  </w:style>
  <w:style w:type="paragraph" w:styleId="Lijstalinea">
    <w:name w:val="List Paragraph"/>
    <w:basedOn w:val="Standaard"/>
    <w:uiPriority w:val="34"/>
    <w:qFormat/>
    <w:rsid w:val="004E587C"/>
    <w:pPr>
      <w:ind w:left="720"/>
      <w:contextualSpacing/>
    </w:pPr>
  </w:style>
  <w:style w:type="table" w:styleId="Tabelraster">
    <w:name w:val="Table Grid"/>
    <w:basedOn w:val="Standaardtabel"/>
    <w:rsid w:val="0003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A41E07"/>
    <w:rPr>
      <w:sz w:val="16"/>
      <w:szCs w:val="16"/>
    </w:rPr>
  </w:style>
  <w:style w:type="paragraph" w:styleId="Tekstopmerking">
    <w:name w:val="annotation text"/>
    <w:basedOn w:val="Standaard"/>
    <w:link w:val="TekstopmerkingChar"/>
    <w:rsid w:val="00A41E07"/>
    <w:rPr>
      <w:szCs w:val="20"/>
    </w:rPr>
  </w:style>
  <w:style w:type="character" w:customStyle="1" w:styleId="TekstopmerkingChar">
    <w:name w:val="Tekst opmerking Char"/>
    <w:basedOn w:val="Standaardalinea-lettertype"/>
    <w:link w:val="Tekstopmerking"/>
    <w:rsid w:val="00A41E07"/>
    <w:rPr>
      <w:rFonts w:ascii="Arial" w:hAnsi="Arial" w:cs="Arial"/>
      <w:lang w:eastAsia="zh-CN"/>
    </w:rPr>
  </w:style>
  <w:style w:type="paragraph" w:styleId="Onderwerpvanopmerking">
    <w:name w:val="annotation subject"/>
    <w:basedOn w:val="Tekstopmerking"/>
    <w:next w:val="Tekstopmerking"/>
    <w:link w:val="OnderwerpvanopmerkingChar"/>
    <w:rsid w:val="00A41E07"/>
    <w:rPr>
      <w:b/>
      <w:bCs/>
    </w:rPr>
  </w:style>
  <w:style w:type="character" w:customStyle="1" w:styleId="OnderwerpvanopmerkingChar">
    <w:name w:val="Onderwerp van opmerking Char"/>
    <w:basedOn w:val="TekstopmerkingChar"/>
    <w:link w:val="Onderwerpvanopmerking"/>
    <w:rsid w:val="00A41E07"/>
    <w:rPr>
      <w:rFonts w:ascii="Arial" w:hAnsi="Arial" w:cs="Arial"/>
      <w:b/>
      <w:bCs/>
      <w:lang w:eastAsia="zh-CN"/>
    </w:rPr>
  </w:style>
  <w:style w:type="paragraph" w:styleId="Ballontekst">
    <w:name w:val="Balloon Text"/>
    <w:basedOn w:val="Standaard"/>
    <w:link w:val="BallontekstChar"/>
    <w:rsid w:val="00A41E07"/>
    <w:rPr>
      <w:rFonts w:ascii="Segoe UI" w:hAnsi="Segoe UI" w:cs="Segoe UI"/>
      <w:sz w:val="18"/>
      <w:szCs w:val="18"/>
    </w:rPr>
  </w:style>
  <w:style w:type="character" w:customStyle="1" w:styleId="BallontekstChar">
    <w:name w:val="Ballontekst Char"/>
    <w:basedOn w:val="Standaardalinea-lettertype"/>
    <w:link w:val="Ballontekst"/>
    <w:rsid w:val="00A41E07"/>
    <w:rPr>
      <w:rFonts w:ascii="Segoe UI" w:hAnsi="Segoe UI" w:cs="Segoe UI"/>
      <w:sz w:val="18"/>
      <w:szCs w:val="18"/>
      <w:lang w:eastAsia="zh-CN"/>
    </w:rPr>
  </w:style>
  <w:style w:type="paragraph" w:styleId="Voettekst">
    <w:name w:val="footer"/>
    <w:basedOn w:val="Standaard"/>
    <w:link w:val="VoettekstChar"/>
    <w:uiPriority w:val="99"/>
    <w:rsid w:val="00D81C87"/>
    <w:pPr>
      <w:tabs>
        <w:tab w:val="center" w:pos="4536"/>
        <w:tab w:val="right" w:pos="9072"/>
      </w:tabs>
    </w:pPr>
  </w:style>
  <w:style w:type="character" w:customStyle="1" w:styleId="VoettekstChar">
    <w:name w:val="Voettekst Char"/>
    <w:basedOn w:val="Standaardalinea-lettertype"/>
    <w:link w:val="Voettekst"/>
    <w:uiPriority w:val="99"/>
    <w:rsid w:val="00D81C87"/>
    <w:rPr>
      <w:rFonts w:ascii="Arial" w:hAnsi="Arial" w:cs="Arial"/>
      <w:szCs w:val="24"/>
      <w:lang w:eastAsia="zh-CN"/>
    </w:rPr>
  </w:style>
  <w:style w:type="paragraph" w:styleId="Voetnoottekst">
    <w:name w:val="footnote text"/>
    <w:basedOn w:val="Standaard"/>
    <w:link w:val="VoetnoottekstChar"/>
    <w:rsid w:val="00D81C87"/>
    <w:rPr>
      <w:szCs w:val="20"/>
    </w:rPr>
  </w:style>
  <w:style w:type="character" w:customStyle="1" w:styleId="VoetnoottekstChar">
    <w:name w:val="Voetnoottekst Char"/>
    <w:basedOn w:val="Standaardalinea-lettertype"/>
    <w:link w:val="Voetnoottekst"/>
    <w:rsid w:val="00D81C87"/>
    <w:rPr>
      <w:rFonts w:ascii="Arial" w:hAnsi="Arial" w:cs="Arial"/>
      <w:lang w:eastAsia="zh-CN"/>
    </w:rPr>
  </w:style>
  <w:style w:type="paragraph" w:customStyle="1" w:styleId="Default">
    <w:name w:val="Default"/>
    <w:rsid w:val="00D81C87"/>
    <w:pPr>
      <w:autoSpaceDE w:val="0"/>
      <w:autoSpaceDN w:val="0"/>
      <w:adjustRightInd w:val="0"/>
    </w:pPr>
    <w:rPr>
      <w:rFonts w:ascii="Calibri" w:hAnsi="Calibri" w:cs="Calibri"/>
      <w:color w:val="000000"/>
      <w:sz w:val="24"/>
      <w:szCs w:val="24"/>
    </w:rPr>
  </w:style>
  <w:style w:type="character" w:styleId="Voetnootmarkering">
    <w:name w:val="footnote reference"/>
    <w:rsid w:val="00D81C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6073">
      <w:bodyDiv w:val="1"/>
      <w:marLeft w:val="0"/>
      <w:marRight w:val="0"/>
      <w:marTop w:val="0"/>
      <w:marBottom w:val="0"/>
      <w:divBdr>
        <w:top w:val="none" w:sz="0" w:space="0" w:color="auto"/>
        <w:left w:val="none" w:sz="0" w:space="0" w:color="auto"/>
        <w:bottom w:val="none" w:sz="0" w:space="0" w:color="auto"/>
        <w:right w:val="none" w:sz="0" w:space="0" w:color="auto"/>
      </w:divBdr>
    </w:div>
    <w:div w:id="441539372">
      <w:bodyDiv w:val="1"/>
      <w:marLeft w:val="0"/>
      <w:marRight w:val="0"/>
      <w:marTop w:val="0"/>
      <w:marBottom w:val="0"/>
      <w:divBdr>
        <w:top w:val="none" w:sz="0" w:space="0" w:color="auto"/>
        <w:left w:val="none" w:sz="0" w:space="0" w:color="auto"/>
        <w:bottom w:val="none" w:sz="0" w:space="0" w:color="auto"/>
        <w:right w:val="none" w:sz="0" w:space="0" w:color="auto"/>
      </w:divBdr>
    </w:div>
    <w:div w:id="76804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ad.ede.nl\Data\Groups\EDE\HSD\David\Jeugdzorg\Monitoring\2016\Q4\Q4%20rapportage%2020170118.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ad.ede.nl\Data\Groups\EDE\HSD\David\Jeugdzorg\Monitoring\2016\Q4\Q4%20rapportage%2020170118.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1"/>
        <c:ser>
          <c:idx val="0"/>
          <c:order val="0"/>
          <c:tx>
            <c:strRef>
              <c:f>Perceel!$A$4</c:f>
              <c:strCache>
                <c:ptCount val="1"/>
                <c:pt idx="0">
                  <c:v>Ambulant</c:v>
                </c:pt>
              </c:strCache>
            </c:strRef>
          </c:tx>
          <c:invertIfNegative val="0"/>
          <c:dPt>
            <c:idx val="0"/>
            <c:invertIfNegative val="0"/>
            <c:bubble3D val="0"/>
            <c:spPr>
              <a:solidFill>
                <a:schemeClr val="accent1"/>
              </a:solidFill>
              <a:ln>
                <a:noFill/>
              </a:ln>
              <a:effectLst/>
            </c:spPr>
          </c:dPt>
          <c:dPt>
            <c:idx val="1"/>
            <c:invertIfNegative val="0"/>
            <c:bubble3D val="0"/>
            <c:spPr>
              <a:solidFill>
                <a:schemeClr val="accent2"/>
              </a:solidFill>
              <a:ln>
                <a:noFill/>
              </a:ln>
              <a:effectLst/>
            </c:spPr>
          </c:dPt>
          <c:dPt>
            <c:idx val="2"/>
            <c:invertIfNegative val="0"/>
            <c:bubble3D val="0"/>
            <c:spPr>
              <a:solidFill>
                <a:schemeClr val="accent3"/>
              </a:solidFill>
              <a:ln>
                <a:noFill/>
              </a:ln>
              <a:effectLst/>
            </c:spPr>
          </c:dPt>
          <c:cat>
            <c:strRef>
              <c:f>(Perceel!$B$1,Perceel!$D$1,Perceel!$E$1)</c:f>
              <c:strCache>
                <c:ptCount val="3"/>
                <c:pt idx="0">
                  <c:v>Resultaat 2015</c:v>
                </c:pt>
                <c:pt idx="1">
                  <c:v>Budget 2016</c:v>
                </c:pt>
                <c:pt idx="2">
                  <c:v>Prognose 2016</c:v>
                </c:pt>
              </c:strCache>
            </c:strRef>
          </c:cat>
          <c:val>
            <c:numRef>
              <c:f>Perceel!$B$59:$D$59</c:f>
              <c:numCache>
                <c:formatCode>_-* #,##0_-;_-* #,##0\-;_-* "-"??_-;_-@_-</c:formatCode>
                <c:ptCount val="3"/>
                <c:pt idx="0">
                  <c:v>26114549.550000008</c:v>
                </c:pt>
                <c:pt idx="1">
                  <c:v>23901029.820034306</c:v>
                </c:pt>
                <c:pt idx="2">
                  <c:v>28220586.28027647</c:v>
                </c:pt>
              </c:numCache>
            </c:numRef>
          </c:val>
        </c:ser>
        <c:dLbls>
          <c:showLegendKey val="0"/>
          <c:showVal val="0"/>
          <c:showCatName val="0"/>
          <c:showSerName val="0"/>
          <c:showPercent val="0"/>
          <c:showBubbleSize val="0"/>
        </c:dLbls>
        <c:gapWidth val="219"/>
        <c:overlap val="-27"/>
        <c:axId val="424141920"/>
        <c:axId val="424141528"/>
      </c:barChart>
      <c:catAx>
        <c:axId val="424141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24141528"/>
        <c:crosses val="autoZero"/>
        <c:auto val="1"/>
        <c:lblAlgn val="ctr"/>
        <c:lblOffset val="100"/>
        <c:noMultiLvlLbl val="0"/>
      </c:catAx>
      <c:valAx>
        <c:axId val="424141528"/>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241419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1"/>
        <c:ser>
          <c:idx val="0"/>
          <c:order val="0"/>
          <c:tx>
            <c:strRef>
              <c:f>Perceel!$A$5</c:f>
              <c:strCache>
                <c:ptCount val="1"/>
                <c:pt idx="0">
                  <c:v>Verblijf regionaal</c:v>
                </c:pt>
              </c:strCache>
            </c:strRef>
          </c:tx>
          <c:invertIfNegative val="0"/>
          <c:cat>
            <c:strRef>
              <c:f>(Perceel!$B$1,Perceel!$D$1,Perceel!$E$1)</c:f>
              <c:strCache>
                <c:ptCount val="3"/>
                <c:pt idx="0">
                  <c:v>Resultaat 2015</c:v>
                </c:pt>
                <c:pt idx="1">
                  <c:v>Budget 2016</c:v>
                </c:pt>
                <c:pt idx="2">
                  <c:v>Prognose 2016</c:v>
                </c:pt>
              </c:strCache>
            </c:strRef>
          </c:cat>
          <c:val>
            <c:numRef>
              <c:f>Perceel!$B$60:$D$60</c:f>
              <c:numCache>
                <c:formatCode>_-* #,##0_-;_-* #,##0\-;_-* "-"??_-;_-@_-</c:formatCode>
                <c:ptCount val="3"/>
                <c:pt idx="0">
                  <c:v>9914810.2300000004</c:v>
                </c:pt>
                <c:pt idx="1">
                  <c:v>9772141.6640685424</c:v>
                </c:pt>
                <c:pt idx="2">
                  <c:v>12795589.690501707</c:v>
                </c:pt>
              </c:numCache>
            </c:numRef>
          </c:val>
        </c:ser>
        <c:ser>
          <c:idx val="1"/>
          <c:order val="1"/>
          <c:tx>
            <c:strRef>
              <c:f>Perceel!$A$6</c:f>
              <c:strCache>
                <c:ptCount val="1"/>
                <c:pt idx="0">
                  <c:v>Verblijf bovenregionaal</c:v>
                </c:pt>
              </c:strCache>
            </c:strRef>
          </c:tx>
          <c:invertIfNegative val="0"/>
          <c:cat>
            <c:strRef>
              <c:f>(Perceel!$B$1,Perceel!$D$1,Perceel!$E$1)</c:f>
              <c:strCache>
                <c:ptCount val="3"/>
                <c:pt idx="0">
                  <c:v>Resultaat 2015</c:v>
                </c:pt>
                <c:pt idx="1">
                  <c:v>Budget 2016</c:v>
                </c:pt>
                <c:pt idx="2">
                  <c:v>Prognose 2016</c:v>
                </c:pt>
              </c:strCache>
            </c:strRef>
          </c:cat>
          <c:val>
            <c:numRef>
              <c:f>Perceel!$B$61:$D$61</c:f>
              <c:numCache>
                <c:formatCode>_-* #,##0_-;_-* #,##0\-;_-* "-"??_-;_-@_-</c:formatCode>
                <c:ptCount val="3"/>
                <c:pt idx="0">
                  <c:v>8726242</c:v>
                </c:pt>
                <c:pt idx="1">
                  <c:v>8041658.244389737</c:v>
                </c:pt>
                <c:pt idx="2">
                  <c:v>8996196.672987625</c:v>
                </c:pt>
              </c:numCache>
            </c:numRef>
          </c:val>
        </c:ser>
        <c:dLbls>
          <c:showLegendKey val="0"/>
          <c:showVal val="0"/>
          <c:showCatName val="0"/>
          <c:showSerName val="0"/>
          <c:showPercent val="0"/>
          <c:showBubbleSize val="0"/>
        </c:dLbls>
        <c:gapWidth val="219"/>
        <c:overlap val="100"/>
        <c:axId val="623378528"/>
        <c:axId val="415268896"/>
      </c:barChart>
      <c:catAx>
        <c:axId val="62337852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15268896"/>
        <c:crosses val="autoZero"/>
        <c:auto val="1"/>
        <c:lblAlgn val="ctr"/>
        <c:lblOffset val="100"/>
        <c:noMultiLvlLbl val="0"/>
      </c:catAx>
      <c:valAx>
        <c:axId val="41526889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623378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A3F43-AC51-4323-A901-164F5907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D6D14961</Template>
  <TotalTime>0</TotalTime>
  <Pages>9</Pages>
  <Words>2510</Words>
  <Characters>13806</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Gemeente Ede</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Gort, Mariska</dc:creator>
  <cp:keywords/>
  <dc:description/>
  <cp:lastModifiedBy>Aalst, Maarten van</cp:lastModifiedBy>
  <cp:revision>2</cp:revision>
  <cp:lastPrinted>2017-03-20T09:36:00Z</cp:lastPrinted>
  <dcterms:created xsi:type="dcterms:W3CDTF">2017-03-22T15:51:00Z</dcterms:created>
  <dcterms:modified xsi:type="dcterms:W3CDTF">2017-03-22T15:51:00Z</dcterms:modified>
</cp:coreProperties>
</file>